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20151F4E">
      <w:pPr>
        <w:jc w:val="center"/>
        <w:rPr>
          <w:rFonts w:hint="eastAsia" w:ascii="宋体" w:hAnsi="宋体" w:cs="宋体"/>
          <w:b/>
          <w:sz w:val="40"/>
          <w:szCs w:val="40"/>
          <w:highlight w:val="none"/>
          <w:lang w:eastAsia="zh-CN"/>
        </w:rPr>
      </w:pPr>
      <w:r>
        <w:rPr>
          <w:rFonts w:hint="eastAsia" w:ascii="宋体" w:hAnsi="宋体" w:cs="宋体"/>
          <w:b/>
          <w:sz w:val="40"/>
          <w:szCs w:val="40"/>
        </w:rPr>
        <w:t>河南</w:t>
      </w:r>
      <w:r>
        <w:rPr>
          <w:rFonts w:hint="eastAsia" w:ascii="宋体" w:hAnsi="宋体" w:cs="宋体"/>
          <w:b/>
          <w:sz w:val="40"/>
          <w:szCs w:val="40"/>
          <w:highlight w:val="none"/>
        </w:rPr>
        <w:t>省胸科医院</w:t>
      </w:r>
      <w:r>
        <w:rPr>
          <w:rFonts w:hint="eastAsia" w:ascii="宋体" w:hAnsi="宋体" w:cs="宋体"/>
          <w:b/>
          <w:sz w:val="40"/>
          <w:szCs w:val="40"/>
          <w:highlight w:val="none"/>
          <w:lang w:eastAsia="zh-CN"/>
        </w:rPr>
        <w:t>动态心电图记录仪</w:t>
      </w: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7"/>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w:t>
      </w:r>
      <w:r>
        <w:rPr>
          <w:rFonts w:hint="eastAsia" w:ascii="宋体" w:hAnsi="宋体" w:cs="宋体"/>
          <w:b/>
          <w:sz w:val="32"/>
          <w:highlight w:val="none"/>
        </w:rPr>
        <w:t>-YN-</w:t>
      </w:r>
      <w:r>
        <w:rPr>
          <w:rFonts w:hint="eastAsia" w:ascii="宋体" w:hAnsi="宋体" w:cs="宋体"/>
          <w:b/>
          <w:sz w:val="32"/>
          <w:highlight w:val="none"/>
          <w:lang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047</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212A8CCF">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动态心电图记录仪</w:t>
      </w:r>
      <w:r>
        <w:rPr>
          <w:rFonts w:hint="eastAsia" w:ascii="宋体" w:hAnsi="宋体"/>
          <w:b/>
          <w:sz w:val="28"/>
          <w:szCs w:val="28"/>
          <w:highlight w:val="none"/>
        </w:rPr>
        <w:t>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河南省胸科医院动态心电图记录仪采购项目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动态心电图记录仪</w:t>
      </w:r>
      <w:r>
        <w:rPr>
          <w:rFonts w:hint="eastAsia" w:asciiTheme="minorEastAsia" w:hAnsiTheme="minorEastAsia" w:eastAsiaTheme="minorEastAsia" w:cstheme="minorEastAsia"/>
          <w:color w:val="333333"/>
          <w:sz w:val="24"/>
          <w:szCs w:val="24"/>
          <w:lang w:val="en-US" w:eastAsia="zh-CN"/>
        </w:rPr>
        <w:t>5</w:t>
      </w:r>
      <w:r>
        <w:rPr>
          <w:rFonts w:hint="default" w:asciiTheme="minorEastAsia" w:hAnsiTheme="minorEastAsia" w:eastAsiaTheme="minorEastAsia" w:cstheme="minorEastAsia"/>
          <w:color w:val="333333"/>
          <w:sz w:val="24"/>
          <w:szCs w:val="24"/>
        </w:rPr>
        <w:t>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三、项</w:t>
      </w:r>
      <w:r>
        <w:rPr>
          <w:rFonts w:hint="default" w:asciiTheme="minorEastAsia" w:hAnsiTheme="minorEastAsia" w:eastAsiaTheme="minorEastAsia" w:cstheme="minorEastAsia"/>
          <w:color w:val="333333"/>
          <w:sz w:val="24"/>
          <w:szCs w:val="24"/>
          <w:highlight w:val="none"/>
        </w:rPr>
        <w:t>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3日至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FD84A1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0979117E">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474413BA">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eastAsiaTheme="minorEastAsia"/>
          <w:sz w:val="24"/>
          <w:lang w:val="en-US" w:eastAsia="zh-CN"/>
        </w:rPr>
        <w:t>1.数量：5台。</w:t>
      </w:r>
    </w:p>
    <w:p w14:paraId="0F359ED8">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2.检测通道:12导联，记录时间≥24小时。</w:t>
      </w:r>
    </w:p>
    <w:p w14:paraId="799862D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3.共模抑制:≥ 80 dB。</w:t>
      </w:r>
    </w:p>
    <w:p w14:paraId="48DDBE53">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4.记录仪具有彩色液晶显示屏可以在记录仪屏幕同时观察3导心电图波形。</w:t>
      </w:r>
    </w:p>
    <w:p w14:paraId="432993C7">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5.软件可以同步分析心律失常、ST段、房颤，并且在诊断出房颤后，自动调整至房颤分析界面，房颤事件可直接定义为房扑，节省工作时间，提高工作效率。</w:t>
      </w:r>
    </w:p>
    <w:p w14:paraId="4FC6CD80">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6.具有电池电压记录通道，记录24小时电池电压曲线（提供软件截图）。</w:t>
      </w:r>
    </w:p>
    <w:p w14:paraId="5A999D99">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7.对于低电压病人在开始分析时可以选择将电压放大开始分析，提高检出率。</w:t>
      </w:r>
    </w:p>
    <w:p w14:paraId="454B9BD1">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8.具有批量编辑功能，可根据波形的形态及相似度对波形进行批量的编辑。</w:t>
      </w:r>
    </w:p>
    <w:p w14:paraId="0A47B67B">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9.软件具有洛伦茨散点图、时间散点图；且每个独立模版均具有散点图及直方图。</w:t>
      </w:r>
    </w:p>
    <w:p w14:paraId="74F1D8E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10.具有双通道独立起搏信号检测，敏感准确，软件可以自动识别起搏器类型的功能（提供软件截图）。</w:t>
      </w:r>
    </w:p>
    <w:p w14:paraId="130BA8B5">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11.具备多通道分析自动分析功能、提高分析准确性。</w:t>
      </w:r>
    </w:p>
    <w:p w14:paraId="6145B52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12.具有智能工具包；智能室上早、智能模板剥离、R波智能移动和添加的伪差批处理技术。</w:t>
      </w:r>
    </w:p>
    <w:p w14:paraId="38F8F1CA">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13.具有一站编辑功能，同屏显示七大模块：模板、全局t-RR散点图、局部t-RR散点图、Lorenz散点图、叠加图、样本图、标准图功能（提供证明文件）。</w:t>
      </w:r>
    </w:p>
    <w:p w14:paraId="03FAC1F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14.三位一体的操作界面，模板、样本、心电图三层结构在同一操作界面中显示，不需要额外的界面切换即可完成编辑。</w:t>
      </w:r>
    </w:p>
    <w:p w14:paraId="75BF0AA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15.智能模板剥离功能：选择任意样本、自由指定匹配区、自定义相似度，实现伪差、畸形室早等模板的快速、智能分割。</w:t>
      </w:r>
    </w:p>
    <w:p w14:paraId="4ABAC74A">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16.总结报告全面，应包含室早四联律、室上早四联律等。</w:t>
      </w:r>
    </w:p>
    <w:p w14:paraId="663DC48E">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17.生产厂家通过质量认证体系（ISO13485）认证。</w:t>
      </w:r>
    </w:p>
    <w:p w14:paraId="4CB3B07F">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18.产品具有美国FDA、欧盟ＣＥ双认证（提供资质证书）。</w:t>
      </w:r>
    </w:p>
    <w:p w14:paraId="0344569D">
      <w:pPr>
        <w:spacing w:line="360" w:lineRule="auto"/>
        <w:ind w:firstLine="480" w:firstLineChars="200"/>
        <w:rPr>
          <w:rFonts w:hint="eastAsia" w:ascii="宋体" w:hAnsi="宋体" w:cs="宋体" w:eastAsiaTheme="minorEastAsia"/>
          <w:sz w:val="24"/>
          <w:lang w:val="en-US" w:eastAsia="zh-CN"/>
        </w:rPr>
      </w:pPr>
      <w:r>
        <w:rPr>
          <w:rFonts w:hint="eastAsia" w:ascii="宋体" w:hAnsi="宋体" w:cs="宋体" w:eastAsiaTheme="minorEastAsia"/>
          <w:sz w:val="24"/>
          <w:lang w:val="en-US" w:eastAsia="zh-CN"/>
        </w:rPr>
        <w:t>19.产品配置清单：</w:t>
      </w:r>
    </w:p>
    <w:p w14:paraId="3BF94E29">
      <w:pPr>
        <w:pStyle w:val="162"/>
        <w:keepNext w:val="0"/>
        <w:keepLines w:val="0"/>
        <w:pageBreakBefore w:val="0"/>
        <w:widowControl w:val="0"/>
        <w:kinsoku/>
        <w:wordWrap/>
        <w:overflowPunct/>
        <w:topLinePunct w:val="0"/>
        <w:autoSpaceDE/>
        <w:autoSpaceDN/>
        <w:bidi w:val="0"/>
        <w:adjustRightInd/>
        <w:snapToGrid/>
        <w:spacing w:before="32" w:line="240" w:lineRule="auto"/>
        <w:ind w:firstLine="702" w:firstLineChars="3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1.动态心电记录仪1台</w:t>
      </w:r>
    </w:p>
    <w:p w14:paraId="3B321B00">
      <w:pPr>
        <w:pStyle w:val="162"/>
        <w:keepNext w:val="0"/>
        <w:keepLines w:val="0"/>
        <w:pageBreakBefore w:val="0"/>
        <w:widowControl w:val="0"/>
        <w:kinsoku/>
        <w:wordWrap/>
        <w:overflowPunct/>
        <w:topLinePunct w:val="0"/>
        <w:autoSpaceDE/>
        <w:autoSpaceDN/>
        <w:bidi w:val="0"/>
        <w:adjustRightInd/>
        <w:snapToGrid/>
        <w:spacing w:before="32" w:line="240" w:lineRule="auto"/>
        <w:ind w:firstLine="702" w:firstLineChars="3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2.导联线         1套</w:t>
      </w:r>
    </w:p>
    <w:p w14:paraId="679157F8">
      <w:pPr>
        <w:pStyle w:val="162"/>
        <w:keepNext w:val="0"/>
        <w:keepLines w:val="0"/>
        <w:pageBreakBefore w:val="0"/>
        <w:widowControl w:val="0"/>
        <w:kinsoku/>
        <w:wordWrap/>
        <w:overflowPunct/>
        <w:topLinePunct w:val="0"/>
        <w:autoSpaceDE/>
        <w:autoSpaceDN/>
        <w:bidi w:val="0"/>
        <w:adjustRightInd/>
        <w:snapToGrid/>
        <w:spacing w:before="32" w:line="240" w:lineRule="auto"/>
        <w:ind w:firstLine="702" w:firstLineChars="300"/>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3.SD卡          </w:t>
      </w:r>
      <w:r>
        <w:rPr>
          <w:rFonts w:hint="eastAsia" w:cs="宋体"/>
          <w:color w:val="auto"/>
          <w:spacing w:val="-3"/>
          <w:sz w:val="24"/>
          <w:szCs w:val="24"/>
          <w:lang w:val="en-US" w:eastAsia="zh-CN"/>
        </w:rPr>
        <w:t xml:space="preserve"> </w:t>
      </w:r>
      <w:r>
        <w:rPr>
          <w:rFonts w:hint="eastAsia" w:ascii="宋体" w:hAnsi="宋体" w:eastAsia="宋体" w:cs="宋体"/>
          <w:color w:val="auto"/>
          <w:spacing w:val="-3"/>
          <w:sz w:val="24"/>
          <w:szCs w:val="24"/>
          <w:lang w:val="en-US" w:eastAsia="zh-CN"/>
        </w:rPr>
        <w:t>1张</w:t>
      </w:r>
    </w:p>
    <w:p w14:paraId="104AD90B">
      <w:pPr>
        <w:pStyle w:val="162"/>
        <w:keepNext w:val="0"/>
        <w:keepLines w:val="0"/>
        <w:pageBreakBefore w:val="0"/>
        <w:widowControl w:val="0"/>
        <w:kinsoku/>
        <w:wordWrap/>
        <w:overflowPunct/>
        <w:topLinePunct w:val="0"/>
        <w:autoSpaceDE/>
        <w:autoSpaceDN/>
        <w:bidi w:val="0"/>
        <w:adjustRightInd/>
        <w:snapToGrid/>
        <w:spacing w:before="32" w:line="240" w:lineRule="auto"/>
        <w:ind w:firstLine="702" w:firstLineChars="300"/>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4.背包           1个</w:t>
      </w:r>
    </w:p>
    <w:p w14:paraId="19A248DA">
      <w:pPr>
        <w:spacing w:line="360" w:lineRule="auto"/>
        <w:rPr>
          <w:rFonts w:hint="eastAsia" w:ascii="宋体" w:hAnsi="宋体"/>
          <w:b/>
          <w:bCs/>
          <w:sz w:val="24"/>
          <w:lang w:eastAsia="zh-CN"/>
        </w:rPr>
      </w:pPr>
      <w:r>
        <w:rPr>
          <w:rFonts w:hint="eastAsia" w:ascii="宋体" w:hAnsi="宋体"/>
          <w:b/>
          <w:bCs/>
          <w:sz w:val="24"/>
          <w:lang w:eastAsia="zh-CN"/>
        </w:rPr>
        <w:t>二、</w:t>
      </w:r>
      <w:r>
        <w:rPr>
          <w:rFonts w:hint="eastAsia" w:ascii="宋体" w:hAnsi="宋体"/>
          <w:b/>
          <w:bCs/>
          <w:sz w:val="24"/>
        </w:rPr>
        <w:t>商务要求</w:t>
      </w:r>
      <w:r>
        <w:rPr>
          <w:rFonts w:hint="eastAsia" w:ascii="宋体" w:hAnsi="宋体"/>
          <w:b/>
          <w:bCs/>
          <w:sz w:val="24"/>
          <w:lang w:eastAsia="zh-CN"/>
        </w:rPr>
        <w:t>：</w:t>
      </w:r>
    </w:p>
    <w:p w14:paraId="3A6ADDFB">
      <w:pPr>
        <w:spacing w:line="360" w:lineRule="auto"/>
        <w:ind w:firstLine="480"/>
        <w:rPr>
          <w:rFonts w:hint="eastAsia" w:ascii="宋体" w:hAnsi="宋体" w:cs="宋体"/>
          <w:sz w:val="24"/>
        </w:rPr>
      </w:pPr>
      <w:r>
        <w:rPr>
          <w:rFonts w:hint="eastAsia" w:ascii="宋体" w:hAnsi="宋体" w:cs="宋体"/>
          <w:sz w:val="24"/>
        </w:rPr>
        <w:t>1.特定资格</w:t>
      </w:r>
    </w:p>
    <w:p w14:paraId="31A85D5D">
      <w:pPr>
        <w:spacing w:line="360" w:lineRule="auto"/>
        <w:ind w:firstLine="480"/>
        <w:rPr>
          <w:rFonts w:hint="eastAsia" w:ascii="宋体" w:hAnsi="宋体" w:cs="宋体"/>
          <w:sz w:val="24"/>
        </w:rPr>
      </w:pPr>
      <w:r>
        <w:rPr>
          <w:rFonts w:hint="eastAsia" w:ascii="宋体" w:hAnsi="宋体" w:cs="宋体"/>
          <w:sz w:val="24"/>
        </w:rPr>
        <w:t>1.1 供应商需具有医疗器械经营许可证或医疗器械经营备案凭证。</w:t>
      </w:r>
    </w:p>
    <w:p w14:paraId="448A1076">
      <w:pPr>
        <w:spacing w:line="360" w:lineRule="auto"/>
        <w:ind w:firstLine="480"/>
        <w:rPr>
          <w:rFonts w:hint="eastAsia" w:ascii="宋体" w:hAnsi="宋体" w:cs="宋体"/>
          <w:sz w:val="24"/>
        </w:rPr>
      </w:pPr>
      <w:r>
        <w:rPr>
          <w:rFonts w:hint="eastAsia" w:ascii="宋体" w:hAnsi="宋体" w:cs="宋体"/>
          <w:sz w:val="24"/>
        </w:rPr>
        <w:t>1.2 投标产品具有医疗器械生产许可证、医疗器械产品注册证或医疗器械产品备案凭证。</w:t>
      </w:r>
    </w:p>
    <w:p w14:paraId="1052DBEE">
      <w:pPr>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sz w:val="24"/>
        </w:rPr>
        <w:t>2.到货期：合</w:t>
      </w:r>
      <w:r>
        <w:rPr>
          <w:rFonts w:hint="eastAsia" w:ascii="宋体" w:hAnsi="宋体" w:cs="宋体"/>
          <w:color w:val="000000" w:themeColor="text1"/>
          <w:sz w:val="24"/>
          <w14:textFill>
            <w14:solidFill>
              <w14:schemeClr w14:val="tx1"/>
            </w14:solidFill>
          </w14:textFill>
        </w:rPr>
        <w:t>同签订后</w:t>
      </w:r>
      <w:r>
        <w:rPr>
          <w:rFonts w:hint="eastAsia" w:ascii="宋体" w:hAnsi="宋体" w:cs="宋体"/>
          <w:b/>
          <w:bCs/>
          <w:color w:val="000000" w:themeColor="text1"/>
          <w:sz w:val="24"/>
          <w14:textFill>
            <w14:solidFill>
              <w14:schemeClr w14:val="tx1"/>
            </w14:solidFill>
          </w14:textFill>
        </w:rPr>
        <w:t>30日历天</w:t>
      </w:r>
    </w:p>
    <w:p w14:paraId="772E8F86">
      <w:pPr>
        <w:spacing w:line="360" w:lineRule="auto"/>
        <w:ind w:firstLine="480"/>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3.是否接受进口产品：</w:t>
      </w:r>
      <w:r>
        <w:rPr>
          <w:rFonts w:hint="eastAsia" w:ascii="宋体" w:hAnsi="宋体" w:cs="宋体"/>
          <w:b/>
          <w:bCs/>
          <w:color w:val="000000" w:themeColor="text1"/>
          <w:sz w:val="24"/>
          <w:lang w:val="en-US" w:eastAsia="zh-CN"/>
          <w14:textFill>
            <w14:solidFill>
              <w14:schemeClr w14:val="tx1"/>
            </w14:solidFill>
          </w14:textFill>
        </w:rPr>
        <w:t>否</w:t>
      </w:r>
    </w:p>
    <w:p w14:paraId="4E334F53">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4.质保期：</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（供应商需明确具体年数）</w:t>
      </w:r>
    </w:p>
    <w:p w14:paraId="260FF58D">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5.履约保证金：无</w:t>
      </w:r>
    </w:p>
    <w:p w14:paraId="080D1BB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6.付款方式：</w:t>
      </w:r>
    </w:p>
    <w:p w14:paraId="2C534E7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6.1．合同签订后，设备交付，使用运行正常，验收合格之后，院方向供应商支付合同总价的</w:t>
      </w:r>
      <w:r>
        <w:rPr>
          <w:rFonts w:hint="eastAsia" w:ascii="宋体" w:hAnsi="宋体" w:cs="宋体"/>
          <w:b/>
          <w:bCs/>
          <w:color w:val="000000" w:themeColor="text1"/>
          <w:sz w:val="24"/>
          <w14:textFill>
            <w14:solidFill>
              <w14:schemeClr w14:val="tx1"/>
            </w14:solidFill>
          </w14:textFill>
        </w:rPr>
        <w:t>95%</w:t>
      </w:r>
      <w:r>
        <w:rPr>
          <w:rFonts w:hint="eastAsia" w:ascii="宋体" w:hAnsi="宋体" w:cs="宋体"/>
          <w:color w:val="000000" w:themeColor="text1"/>
          <w:sz w:val="24"/>
          <w14:textFill>
            <w14:solidFill>
              <w14:schemeClr w14:val="tx1"/>
            </w14:solidFill>
          </w14:textFill>
        </w:rPr>
        <w:t>货款。</w:t>
      </w:r>
    </w:p>
    <w:p w14:paraId="3F46623F">
      <w:pPr>
        <w:spacing w:line="360" w:lineRule="auto"/>
        <w:ind w:firstLine="480"/>
        <w:rPr>
          <w:rFonts w:ascii="宋体" w:hAnsi="宋体" w:cs="宋体"/>
          <w:sz w:val="24"/>
        </w:rPr>
      </w:pPr>
      <w:r>
        <w:rPr>
          <w:rFonts w:hint="eastAsia" w:ascii="宋体" w:hAnsi="宋体" w:cs="宋体"/>
          <w:color w:val="000000" w:themeColor="text1"/>
          <w:sz w:val="24"/>
          <w14:textFill>
            <w14:solidFill>
              <w14:schemeClr w14:val="tx1"/>
            </w14:solidFill>
          </w14:textFill>
        </w:rPr>
        <w:t>6.2．余下的</w:t>
      </w:r>
      <w:r>
        <w:rPr>
          <w:rFonts w:hint="eastAsia" w:ascii="宋体" w:hAnsi="宋体" w:cs="宋体"/>
          <w:b/>
          <w:bCs/>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货款于质保期满</w:t>
      </w:r>
      <w:r>
        <w:rPr>
          <w:rFonts w:hint="eastAsia" w:ascii="宋体" w:hAnsi="宋体" w:cs="宋体"/>
          <w:sz w:val="24"/>
        </w:rPr>
        <w:t>后，依据投标文件，所承诺的优惠条件、售后服务计划、培训计划等执行到位后，按</w:t>
      </w:r>
      <w:bookmarkStart w:id="67" w:name="_GoBack"/>
      <w:bookmarkEnd w:id="67"/>
      <w:r>
        <w:rPr>
          <w:rFonts w:hint="eastAsia" w:ascii="宋体" w:hAnsi="宋体" w:cs="宋体"/>
          <w:sz w:val="24"/>
        </w:rPr>
        <w:t>规定程序办理支付手续，一次性付清。</w:t>
      </w:r>
    </w:p>
    <w:p w14:paraId="7B7A718E">
      <w:pPr>
        <w:pStyle w:val="6"/>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66E59111">
      <w:pPr>
        <w:pStyle w:val="2"/>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
        <w:rPr>
          <w:rFonts w:hint="eastAsia"/>
        </w:rPr>
      </w:pPr>
    </w:p>
    <w:p w14:paraId="05F2E135">
      <w:pPr>
        <w:pStyle w:val="6"/>
        <w:spacing w:before="0" w:after="0"/>
        <w:jc w:val="center"/>
        <w:rPr>
          <w:rFonts w:hint="eastAsia" w:asciiTheme="minorEastAsia" w:hAnsiTheme="minorEastAsia"/>
          <w:color w:val="auto"/>
          <w:sz w:val="32"/>
          <w:highlight w:val="none"/>
        </w:rPr>
      </w:pPr>
    </w:p>
    <w:p w14:paraId="6BFC02C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
        <w:rPr>
          <w:rFonts w:hint="eastAsia"/>
        </w:rPr>
      </w:pPr>
    </w:p>
    <w:p w14:paraId="14E4444C">
      <w:pPr>
        <w:rPr>
          <w:rFonts w:hint="eastAsia"/>
        </w:rPr>
      </w:pPr>
    </w:p>
    <w:p w14:paraId="1453BE5A">
      <w:pPr>
        <w:pStyle w:val="2"/>
        <w:rPr>
          <w:rFonts w:hint="eastAsia"/>
        </w:rPr>
      </w:pPr>
    </w:p>
    <w:p w14:paraId="7097BEF8">
      <w:pPr>
        <w:rPr>
          <w:rFonts w:hint="eastAsia"/>
        </w:rPr>
      </w:pPr>
    </w:p>
    <w:p w14:paraId="7023882D">
      <w:pPr>
        <w:pStyle w:val="2"/>
        <w:rPr>
          <w:rFonts w:hint="eastAsia"/>
        </w:rPr>
      </w:pPr>
    </w:p>
    <w:p w14:paraId="03D7AAC6">
      <w:pPr>
        <w:rPr>
          <w:rFonts w:hint="eastAsia"/>
        </w:rPr>
      </w:pPr>
    </w:p>
    <w:p w14:paraId="085CBAE9">
      <w:pPr>
        <w:pStyle w:val="2"/>
        <w:rPr>
          <w:rFonts w:hint="eastAsia"/>
        </w:rPr>
      </w:pPr>
    </w:p>
    <w:p w14:paraId="7DCC49F4">
      <w:pPr>
        <w:rPr>
          <w:rFonts w:hint="eastAsia"/>
        </w:rPr>
      </w:pPr>
    </w:p>
    <w:p w14:paraId="2839BF2D">
      <w:pPr>
        <w:pStyle w:val="2"/>
        <w:rPr>
          <w:rFonts w:hint="eastAsia"/>
        </w:rPr>
      </w:pPr>
    </w:p>
    <w:p w14:paraId="78904DB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8"/>
        <w:spacing w:before="0" w:after="0"/>
        <w:jc w:val="center"/>
        <w:rPr>
          <w:rFonts w:hint="eastAsia"/>
          <w:color w:val="auto"/>
          <w:sz w:val="28"/>
          <w:szCs w:val="36"/>
          <w:highlight w:val="none"/>
        </w:rPr>
      </w:pPr>
      <w:bookmarkStart w:id="6" w:name="_Toc2479"/>
      <w:bookmarkStart w:id="7" w:name="_Toc902"/>
    </w:p>
    <w:p w14:paraId="0B5438A5">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3"/>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3"/>
        <w:rPr>
          <w:rFonts w:ascii="宋体"/>
          <w:sz w:val="24"/>
        </w:rPr>
      </w:pPr>
      <w:r>
        <w:rPr>
          <w:rFonts w:ascii="宋体"/>
          <w:sz w:val="24"/>
        </w:rPr>
        <w:br w:type="page"/>
      </w:r>
    </w:p>
    <w:p w14:paraId="1F9ABE30">
      <w:pPr>
        <w:jc w:val="center"/>
        <w:rPr>
          <w:rFonts w:ascii="宋体"/>
          <w:color w:val="auto"/>
          <w:highlight w:val="none"/>
        </w:rPr>
      </w:pPr>
    </w:p>
    <w:p w14:paraId="390290FD">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08B8C196">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8"/>
        <w:spacing w:before="0" w:after="0"/>
        <w:jc w:val="center"/>
        <w:rPr>
          <w:rFonts w:hint="eastAsia"/>
          <w:color w:val="auto"/>
          <w:sz w:val="28"/>
          <w:szCs w:val="28"/>
          <w:highlight w:val="none"/>
        </w:rPr>
      </w:pPr>
      <w:bookmarkStart w:id="15" w:name="_Toc24403"/>
      <w:bookmarkStart w:id="16" w:name="_Toc569"/>
      <w:bookmarkStart w:id="17" w:name="_Toc19319"/>
    </w:p>
    <w:p w14:paraId="098C34D6">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
      </w:pPr>
    </w:p>
    <w:p w14:paraId="1E4F0F40"/>
    <w:p w14:paraId="2BD205D8">
      <w:pPr>
        <w:pStyle w:val="2"/>
      </w:pPr>
    </w:p>
    <w:p w14:paraId="7BB3CC0B"/>
    <w:p w14:paraId="17EB78F8">
      <w:pPr>
        <w:pStyle w:val="2"/>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8"/>
        <w:spacing w:before="0" w:after="0"/>
        <w:jc w:val="center"/>
        <w:rPr>
          <w:rFonts w:hint="eastAsia"/>
          <w:color w:val="auto"/>
          <w:sz w:val="28"/>
          <w:highlight w:val="none"/>
        </w:rPr>
      </w:pPr>
      <w:bookmarkStart w:id="21" w:name="_Toc8953"/>
      <w:bookmarkStart w:id="22" w:name="_Toc32668"/>
      <w:bookmarkStart w:id="23" w:name="_Toc31728"/>
    </w:p>
    <w:p w14:paraId="7E64E1DE">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
      </w:pPr>
    </w:p>
    <w:p w14:paraId="4F1F537F"/>
    <w:p w14:paraId="2E4DF39E">
      <w:pPr>
        <w:pStyle w:val="2"/>
      </w:pPr>
    </w:p>
    <w:p w14:paraId="6B2152B1"/>
    <w:p w14:paraId="77E73991">
      <w:pPr>
        <w:pStyle w:val="2"/>
      </w:pPr>
    </w:p>
    <w:p w14:paraId="1C29FFE0"/>
    <w:p w14:paraId="74E18C84">
      <w:pPr>
        <w:pStyle w:val="2"/>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7"/>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7"/>
        <w:rPr>
          <w:rFonts w:hint="eastAsia"/>
          <w:highlight w:val="cyan"/>
          <w:lang w:val="en-US" w:eastAsia="zh-CN"/>
        </w:rPr>
      </w:pPr>
    </w:p>
    <w:p w14:paraId="5C144EBB">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8"/>
        <w:spacing w:before="0" w:after="0"/>
        <w:jc w:val="center"/>
        <w:rPr>
          <w:rFonts w:hint="eastAsia"/>
          <w:color w:val="auto"/>
          <w:sz w:val="24"/>
          <w:highlight w:val="none"/>
        </w:rPr>
      </w:pPr>
    </w:p>
    <w:p w14:paraId="052E7340">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9"/>
        <w:rPr>
          <w:rFonts w:hint="eastAsia"/>
          <w:lang w:eastAsia="zh-CN"/>
        </w:rPr>
      </w:pPr>
    </w:p>
    <w:p w14:paraId="58CCCDC8">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
        <w:rPr>
          <w:sz w:val="24"/>
          <w:szCs w:val="24"/>
        </w:rPr>
      </w:pPr>
    </w:p>
    <w:p w14:paraId="6F19485A">
      <w:pPr>
        <w:rPr>
          <w:sz w:val="24"/>
          <w:szCs w:val="24"/>
        </w:rPr>
      </w:pPr>
    </w:p>
    <w:p w14:paraId="45A2E607">
      <w:pPr>
        <w:pStyle w:val="2"/>
        <w:rPr>
          <w:sz w:val="24"/>
          <w:szCs w:val="24"/>
        </w:rPr>
      </w:pPr>
    </w:p>
    <w:p w14:paraId="09B36DF3">
      <w:pPr>
        <w:rPr>
          <w:sz w:val="24"/>
          <w:szCs w:val="24"/>
        </w:rPr>
      </w:pPr>
    </w:p>
    <w:p w14:paraId="27C53FDD">
      <w:pPr>
        <w:pStyle w:val="2"/>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4"/>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
            </w:pPr>
          </w:p>
        </w:tc>
      </w:tr>
    </w:tbl>
    <w:p w14:paraId="0E0226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7"/>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475887"/>
      <w:bookmarkStart w:id="38" w:name="_Toc349642274"/>
      <w:bookmarkStart w:id="39" w:name="_Toc320878673"/>
      <w:bookmarkStart w:id="40" w:name="_Toc304219290"/>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
        <w:rPr>
          <w:rFonts w:hint="eastAsia"/>
        </w:rPr>
      </w:pPr>
    </w:p>
    <w:p w14:paraId="470DF6A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3"/>
        <w:jc w:val="center"/>
        <w:outlineLvl w:val="1"/>
        <w:rPr>
          <w:b/>
          <w:color w:val="auto"/>
          <w:sz w:val="32"/>
          <w:szCs w:val="32"/>
        </w:rPr>
      </w:pPr>
    </w:p>
    <w:p w14:paraId="176C7642">
      <w:pPr>
        <w:pStyle w:val="3"/>
        <w:jc w:val="center"/>
        <w:outlineLvl w:val="1"/>
        <w:rPr>
          <w:b/>
          <w:color w:val="auto"/>
          <w:sz w:val="32"/>
          <w:szCs w:val="32"/>
        </w:rPr>
      </w:pPr>
    </w:p>
    <w:p w14:paraId="42832394">
      <w:pPr>
        <w:pStyle w:val="3"/>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
        <w:rPr>
          <w:rFonts w:hint="eastAsia"/>
          <w:lang w:val="en-US" w:eastAsia="zh-CN"/>
        </w:rPr>
      </w:pPr>
    </w:p>
    <w:p w14:paraId="7DF119CC">
      <w:pPr>
        <w:rPr>
          <w:rFonts w:hint="eastAsia"/>
          <w:lang w:val="en-US" w:eastAsia="zh-CN"/>
        </w:rPr>
      </w:pPr>
    </w:p>
    <w:p w14:paraId="447AAD42">
      <w:pPr>
        <w:pStyle w:val="2"/>
        <w:rPr>
          <w:rFonts w:hint="eastAsia"/>
          <w:lang w:val="en-US" w:eastAsia="zh-CN"/>
        </w:rPr>
      </w:pPr>
    </w:p>
    <w:p w14:paraId="7F44342E">
      <w:pPr>
        <w:rPr>
          <w:rFonts w:hint="eastAsia"/>
          <w:lang w:val="en-US" w:eastAsia="zh-CN"/>
        </w:rPr>
      </w:pPr>
    </w:p>
    <w:p w14:paraId="2F8A269B">
      <w:pPr>
        <w:pStyle w:val="2"/>
        <w:rPr>
          <w:rFonts w:hint="eastAsia"/>
          <w:lang w:val="en-US" w:eastAsia="zh-CN"/>
        </w:rPr>
      </w:pPr>
    </w:p>
    <w:p w14:paraId="491D9E00">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
        <w:rPr>
          <w:rFonts w:hint="eastAsia"/>
          <w:lang w:val="en-US" w:eastAsia="zh-CN"/>
        </w:rPr>
      </w:pPr>
    </w:p>
    <w:p w14:paraId="1435FE39">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8"/>
        <w:spacing w:before="0" w:after="0"/>
        <w:jc w:val="center"/>
        <w:rPr>
          <w:rFonts w:hint="eastAsia"/>
          <w:color w:val="auto"/>
          <w:sz w:val="28"/>
          <w:highlight w:val="none"/>
          <w:lang w:val="en-US" w:eastAsia="zh-CN"/>
        </w:rPr>
      </w:pPr>
      <w:bookmarkStart w:id="45" w:name="_Toc23117"/>
      <w:bookmarkStart w:id="46" w:name="_Toc11982"/>
    </w:p>
    <w:p w14:paraId="1D63579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7"/>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8"/>
        <w:spacing w:before="0" w:after="0"/>
        <w:jc w:val="center"/>
        <w:rPr>
          <w:rFonts w:hint="eastAsia"/>
          <w:color w:val="auto"/>
          <w:sz w:val="28"/>
          <w:highlight w:val="none"/>
          <w:lang w:val="en-US" w:eastAsia="zh-CN"/>
        </w:rPr>
      </w:pPr>
      <w:bookmarkStart w:id="47" w:name="_Toc20496"/>
      <w:bookmarkStart w:id="48" w:name="_Toc23816"/>
    </w:p>
    <w:p w14:paraId="6B71FB0B">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7"/>
        <w:rPr>
          <w:rFonts w:hint="eastAsia"/>
          <w:lang w:eastAsia="zh-CN"/>
        </w:rPr>
      </w:pPr>
    </w:p>
    <w:p w14:paraId="4734DD1D">
      <w:pPr>
        <w:pStyle w:val="7"/>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8"/>
        <w:bidi w:val="0"/>
        <w:jc w:val="center"/>
        <w:rPr>
          <w:rFonts w:hint="eastAsia"/>
          <w:color w:val="auto"/>
          <w:sz w:val="28"/>
          <w:highlight w:val="none"/>
          <w:lang w:val="en-US" w:eastAsia="zh-CN"/>
        </w:rPr>
      </w:pPr>
      <w:bookmarkStart w:id="49" w:name="_Toc4948"/>
      <w:bookmarkStart w:id="50" w:name="_Toc2922"/>
      <w:bookmarkStart w:id="51" w:name="_Toc10750"/>
      <w:bookmarkStart w:id="52" w:name="_Toc337554798"/>
      <w:bookmarkStart w:id="53" w:name="_Toc349642319"/>
      <w:bookmarkStart w:id="54" w:name="_Toc29526"/>
      <w:bookmarkStart w:id="55" w:name="_Toc28583"/>
      <w:bookmarkStart w:id="56" w:name="_Toc320878714"/>
      <w:bookmarkStart w:id="57" w:name="_Toc30765"/>
      <w:bookmarkStart w:id="58" w:name="_Toc304219331"/>
      <w:bookmarkStart w:id="59" w:name="_Toc12801"/>
      <w:bookmarkStart w:id="60" w:name="_Toc15867"/>
      <w:bookmarkStart w:id="61" w:name="_Toc4599"/>
      <w:bookmarkStart w:id="62" w:name="_Toc337475928"/>
    </w:p>
    <w:p w14:paraId="435CE2F6">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7"/>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8"/>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3451C4"/>
    <w:rsid w:val="47D00F21"/>
    <w:rsid w:val="47E447A8"/>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532049"/>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2">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1821</Words>
  <Characters>2096</Characters>
  <Lines>315</Lines>
  <Paragraphs>88</Paragraphs>
  <TotalTime>0</TotalTime>
  <ScaleCrop>false</ScaleCrop>
  <LinksUpToDate>false</LinksUpToDate>
  <CharactersWithSpaces>2230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2025-04-23T00:07:52Z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