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委托停车楼建设项目过程跟踪审计公司（二次）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049</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委托停车楼建设项目过程跟踪审计公司（二次）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15C81BA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一、项目名称：</w:t>
      </w:r>
    </w:p>
    <w:p w14:paraId="075A6E8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河南省胸科医院委托停车楼建设项目过程跟踪审计公司（二次</w:t>
      </w:r>
      <w:bookmarkStart w:id="62" w:name="_GoBack"/>
      <w:bookmarkEnd w:id="62"/>
      <w:r>
        <w:rPr>
          <w:rFonts w:hint="eastAsia" w:asciiTheme="minorEastAsia" w:hAnsiTheme="minorEastAsia" w:eastAsiaTheme="minorEastAsia" w:cstheme="minorEastAsia"/>
          <w:color w:val="333333"/>
          <w:sz w:val="21"/>
          <w:szCs w:val="21"/>
          <w:lang w:eastAsia="zh-CN"/>
        </w:rPr>
        <w:t>）</w:t>
      </w:r>
      <w:r>
        <w:rPr>
          <w:rFonts w:hint="default" w:asciiTheme="minorEastAsia" w:hAnsiTheme="minorEastAsia" w:eastAsiaTheme="minorEastAsia" w:cstheme="minorEastAsia"/>
          <w:color w:val="333333"/>
          <w:sz w:val="21"/>
          <w:szCs w:val="21"/>
        </w:rPr>
        <w:t>。</w:t>
      </w:r>
    </w:p>
    <w:p w14:paraId="1FDAA5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二、项目范围及内容：</w:t>
      </w:r>
    </w:p>
    <w:p w14:paraId="79D8244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eastAsia" w:asciiTheme="minorEastAsia" w:hAnsiTheme="minorEastAsia" w:eastAsiaTheme="minorEastAsia" w:cstheme="minorEastAsia"/>
          <w:color w:val="333333"/>
          <w:sz w:val="21"/>
          <w:szCs w:val="21"/>
          <w:highlight w:val="none"/>
          <w:lang w:val="en-US" w:eastAsia="zh-CN"/>
        </w:rPr>
        <w:t>审计咨询服务</w:t>
      </w:r>
      <w:r>
        <w:rPr>
          <w:rFonts w:hint="default" w:asciiTheme="minorEastAsia" w:hAnsiTheme="minorEastAsia" w:eastAsiaTheme="minorEastAsia" w:cstheme="minorEastAsia"/>
          <w:color w:val="333333"/>
          <w:sz w:val="21"/>
          <w:szCs w:val="21"/>
          <w:highlight w:val="none"/>
        </w:rPr>
        <w:t>。</w:t>
      </w:r>
    </w:p>
    <w:p w14:paraId="261654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三、项目预算：</w:t>
      </w:r>
    </w:p>
    <w:p w14:paraId="3BF3C8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人民币</w:t>
      </w:r>
      <w:r>
        <w:rPr>
          <w:rFonts w:hint="eastAsia" w:asciiTheme="minorEastAsia" w:hAnsiTheme="minorEastAsia" w:eastAsiaTheme="minorEastAsia" w:cstheme="minorEastAsia"/>
          <w:color w:val="333333"/>
          <w:sz w:val="21"/>
          <w:szCs w:val="21"/>
          <w:highlight w:val="none"/>
          <w:lang w:val="en-US" w:eastAsia="zh-CN"/>
        </w:rPr>
        <w:t>18</w:t>
      </w:r>
      <w:r>
        <w:rPr>
          <w:rFonts w:hint="default" w:asciiTheme="minorEastAsia" w:hAnsiTheme="minorEastAsia" w:eastAsiaTheme="minorEastAsia" w:cstheme="minorEastAsia"/>
          <w:color w:val="333333"/>
          <w:sz w:val="21"/>
          <w:szCs w:val="21"/>
          <w:highlight w:val="none"/>
        </w:rPr>
        <w:t>万元。</w:t>
      </w:r>
    </w:p>
    <w:p w14:paraId="42497B0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四、供应商资格要求：</w:t>
      </w:r>
    </w:p>
    <w:p w14:paraId="6E532E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（一）供应商应满足《中华人民共和国政府采购法》第二十二条规定：</w:t>
      </w:r>
    </w:p>
    <w:p w14:paraId="25CADC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1、具有独立承担民事责任的能力；</w:t>
      </w:r>
    </w:p>
    <w:p w14:paraId="2A16B18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2、具有良好的商业信誉和健全的财务会计制度；</w:t>
      </w:r>
    </w:p>
    <w:p w14:paraId="692AAA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3、具有履行合同所必需的设备和专业技术能力；</w:t>
      </w:r>
    </w:p>
    <w:p w14:paraId="6E5782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4、有依法缴纳税收和社会保障资金的良好记录；  </w:t>
      </w:r>
    </w:p>
    <w:p w14:paraId="694391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5、参加政府采购活动前三年内，经营活动中没有重大违法记录；</w:t>
      </w:r>
    </w:p>
    <w:p w14:paraId="219E956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6、法律、行政法规规定的其他条件。</w:t>
      </w:r>
    </w:p>
    <w:p w14:paraId="64304A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（二）本项目的特定资格要求：</w:t>
      </w:r>
    </w:p>
    <w:p w14:paraId="584839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default" w:asciiTheme="minorEastAsia" w:hAnsiTheme="minorEastAsia" w:eastAsiaTheme="minorEastAsia" w:cstheme="minorEastAsia"/>
          <w:color w:val="333333"/>
          <w:sz w:val="21"/>
          <w:szCs w:val="21"/>
        </w:rPr>
        <w:t>；</w:t>
      </w:r>
    </w:p>
    <w:p w14:paraId="548D95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0B3590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5020FCF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5</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办公场所要求：服务商（供应商）须具有固定的办公场所，提供相应所有权（房产证）或使用权（租房协议及房产证）证明材料。</w:t>
      </w:r>
    </w:p>
    <w:p w14:paraId="64E8628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（三）单位负责人为同一人或者存在直接控股、管理关系的不同供应商，不得参加同一合同项下的采购活动。</w:t>
      </w:r>
    </w:p>
    <w:p w14:paraId="043743D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（四）本项目不接受联合体参与。</w:t>
      </w:r>
    </w:p>
    <w:p w14:paraId="6781B6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五、获取公开议价文件</w:t>
      </w:r>
    </w:p>
    <w:p w14:paraId="2DC3F4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（一）时间</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13</w:t>
      </w:r>
      <w:r>
        <w:rPr>
          <w:rFonts w:hint="default" w:asciiTheme="minorEastAsia" w:hAnsiTheme="minorEastAsia" w:eastAsiaTheme="minorEastAsia" w:cstheme="minorEastAsia"/>
          <w:color w:val="333333"/>
          <w:sz w:val="21"/>
          <w:szCs w:val="21"/>
          <w:highlight w:val="none"/>
        </w:rPr>
        <w:t>日至</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15</w:t>
      </w:r>
      <w:r>
        <w:rPr>
          <w:rFonts w:hint="default" w:asciiTheme="minorEastAsia" w:hAnsiTheme="minorEastAsia" w:eastAsiaTheme="minorEastAsia" w:cstheme="minorEastAsia"/>
          <w:color w:val="333333"/>
          <w:sz w:val="21"/>
          <w:szCs w:val="21"/>
          <w:highlight w:val="none"/>
        </w:rPr>
        <w:t>日，每天上午08:00至12:00，下午12:00至1</w:t>
      </w:r>
      <w:r>
        <w:rPr>
          <w:rFonts w:hint="eastAsia" w:asciiTheme="minorEastAsia" w:hAnsiTheme="minorEastAsia" w:eastAsiaTheme="minorEastAsia" w:cstheme="minorEastAsia"/>
          <w:color w:val="333333"/>
          <w:sz w:val="21"/>
          <w:szCs w:val="21"/>
          <w:highlight w:val="none"/>
          <w:lang w:val="en-US" w:eastAsia="zh-CN"/>
        </w:rPr>
        <w:t>7</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val="en-US" w:eastAsia="zh-CN"/>
        </w:rPr>
        <w:t>3</w:t>
      </w:r>
      <w:r>
        <w:rPr>
          <w:rFonts w:hint="default" w:asciiTheme="minorEastAsia" w:hAnsiTheme="minorEastAsia" w:eastAsiaTheme="minorEastAsia" w:cstheme="minorEastAsia"/>
          <w:color w:val="333333"/>
          <w:sz w:val="21"/>
          <w:szCs w:val="21"/>
          <w:highlight w:val="none"/>
        </w:rPr>
        <w:t>0（北京时间，法定节假日除外）。</w:t>
      </w:r>
    </w:p>
    <w:p w14:paraId="01A2852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（二）方式：将资料清单（见公告末尾）纸质版加盖公章，扫描PDF版发至邮箱zbb65662712@163.com。</w:t>
      </w:r>
    </w:p>
    <w:p w14:paraId="060182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六、发布公告的媒介</w:t>
      </w:r>
    </w:p>
    <w:p w14:paraId="6A5DEF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本次公开议价公告在河南省胸科医院官网发布。</w:t>
      </w:r>
    </w:p>
    <w:p w14:paraId="7058AF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七、公开议价的时间及地点另行通知。</w:t>
      </w:r>
    </w:p>
    <w:p w14:paraId="08A659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八、联系事项</w:t>
      </w:r>
    </w:p>
    <w:p w14:paraId="7263FB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联系地址：河南省胸科医院招标办公室（郑州市纬五路一号）</w:t>
      </w:r>
    </w:p>
    <w:p w14:paraId="68FC8C5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w:t>
      </w:r>
      <w:r>
        <w:rPr>
          <w:rFonts w:hint="eastAsia" w:asciiTheme="minorEastAsia" w:hAnsiTheme="minorEastAsia" w:eastAsiaTheme="minorEastAsia" w:cstheme="minorEastAsia"/>
          <w:color w:val="333333"/>
          <w:sz w:val="21"/>
          <w:szCs w:val="21"/>
          <w:lang w:val="en-US" w:eastAsia="zh-CN"/>
        </w:rPr>
        <w:t xml:space="preserve">    </w:t>
      </w:r>
      <w:r>
        <w:rPr>
          <w:rFonts w:hint="default" w:asciiTheme="minorEastAsia" w:hAnsiTheme="minorEastAsia" w:eastAsiaTheme="minorEastAsia" w:cstheme="minorEastAsia"/>
          <w:color w:val="333333"/>
          <w:sz w:val="21"/>
          <w:szCs w:val="21"/>
        </w:rPr>
        <w:t>编：450008</w:t>
      </w:r>
    </w:p>
    <w:p w14:paraId="7E940D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联系人：李老师</w:t>
      </w:r>
    </w:p>
    <w:p w14:paraId="341E17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联系电话：0371-65662712    </w:t>
      </w:r>
    </w:p>
    <w:p w14:paraId="0AA0BF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邮箱：</w:t>
      </w: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"mailto:zbb65662712@163.com"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zbb65662712@163.com</w:t>
      </w:r>
      <w:r>
        <w:rPr>
          <w:rFonts w:hint="default" w:asciiTheme="minorEastAsia" w:hAnsiTheme="minorEastAsia" w:eastAsiaTheme="minorEastAsia" w:cstheme="minorEastAsia"/>
          <w:color w:val="333333"/>
          <w:sz w:val="21"/>
          <w:szCs w:val="21"/>
        </w:rPr>
        <w:fldChar w:fldCharType="end"/>
      </w:r>
    </w:p>
    <w:p w14:paraId="25ACB4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九、</w:t>
      </w:r>
      <w:r>
        <w:rPr>
          <w:rFonts w:hint="eastAsia" w:asciiTheme="minorEastAsia" w:hAnsiTheme="minorEastAsia" w:eastAsiaTheme="minorEastAsia" w:cstheme="minorEastAsia"/>
          <w:color w:val="333333"/>
          <w:sz w:val="21"/>
          <w:szCs w:val="21"/>
          <w:lang w:val="en-US" w:eastAsia="zh-CN"/>
        </w:rPr>
        <w:t>监督部门及电话：河南省胸科医院监察室65662810、65662967</w:t>
      </w:r>
    </w:p>
    <w:p w14:paraId="1CD2BE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资料清单</w:t>
      </w:r>
      <w:r>
        <w:rPr>
          <w:rFonts w:hint="default" w:asciiTheme="minorEastAsia" w:hAnsiTheme="minorEastAsia" w:eastAsiaTheme="minorEastAsia" w:cstheme="minorEastAsia"/>
          <w:color w:val="333333"/>
          <w:sz w:val="21"/>
          <w:szCs w:val="21"/>
        </w:rPr>
        <w:fldChar w:fldCharType="end"/>
      </w:r>
    </w:p>
    <w:p w14:paraId="6ADE54A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r>
        <w:rPr>
          <w:rFonts w:hint="eastAsia" w:asciiTheme="minorEastAsia" w:hAnsiTheme="minorEastAsia" w:eastAsiaTheme="minorEastAsia" w:cstheme="minorEastAsia"/>
          <w:color w:val="333333"/>
          <w:sz w:val="21"/>
          <w:szCs w:val="21"/>
          <w:lang w:eastAsia="zh-CN"/>
        </w:rPr>
        <w:t>议价文件</w:t>
      </w: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44A2FBD1">
      <w:pPr>
        <w:pStyle w:val="29"/>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2"/>
          <w:sz w:val="21"/>
          <w:szCs w:val="21"/>
          <w:lang w:val="en-US" w:eastAsia="zh-CN" w:bidi="ar-SA"/>
        </w:rPr>
      </w:pPr>
      <w:bookmarkStart w:id="1" w:name="_Toc476419059"/>
      <w:bookmarkStart w:id="2" w:name="_Toc29773"/>
      <w:bookmarkStart w:id="3" w:name="_Toc169314184"/>
      <w:bookmarkStart w:id="4" w:name="_Toc63697600"/>
      <w:bookmarkStart w:id="5" w:name="_Toc533344015"/>
      <w:bookmarkStart w:id="6" w:name="_Toc476420856"/>
      <w:bookmarkStart w:id="7" w:name="_Toc155249524"/>
      <w:bookmarkStart w:id="8" w:name="_Toc155249520"/>
      <w:r>
        <w:rPr>
          <w:rFonts w:hint="eastAsia" w:ascii="宋体" w:hAnsi="宋体" w:eastAsia="宋体" w:cs="宋体"/>
          <w:b/>
          <w:bCs/>
          <w:color w:val="auto"/>
          <w:sz w:val="21"/>
          <w:szCs w:val="21"/>
          <w:lang w:eastAsia="zh-CN"/>
        </w:rPr>
        <w:t>一、</w:t>
      </w:r>
      <w:r>
        <w:rPr>
          <w:rFonts w:hint="eastAsia" w:ascii="宋体" w:hAnsi="宋体" w:eastAsia="宋体" w:cs="宋体"/>
          <w:b/>
          <w:bCs/>
          <w:color w:val="auto"/>
          <w:kern w:val="2"/>
          <w:sz w:val="21"/>
          <w:szCs w:val="21"/>
          <w:lang w:val="en-US" w:eastAsia="zh-CN" w:bidi="ar-SA"/>
        </w:rPr>
        <w:t>技术要求：</w:t>
      </w:r>
    </w:p>
    <w:p w14:paraId="65E8601D">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p w14:paraId="3C48065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1、服务商（供应商）应按委托人委托的项目在规定时间完成委托工作。</w:t>
      </w:r>
    </w:p>
    <w:p w14:paraId="6F4AB78B">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2、服务商（供应商）不得以委托项目的规模大小或咨询费的多少进行选择，否则委托人有权取消资格；</w:t>
      </w:r>
    </w:p>
    <w:p w14:paraId="37D0B518">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3、委托人发现服务商（供应商）转包其委托工作的，委托人有权撤销其委托工作</w:t>
      </w:r>
      <w:r>
        <w:rPr>
          <w:rFonts w:hint="eastAsia" w:ascii="宋体" w:hAnsi="宋体" w:cs="宋体"/>
          <w:color w:val="auto"/>
          <w:sz w:val="21"/>
          <w:szCs w:val="21"/>
          <w:highlight w:val="none"/>
          <w:lang w:eastAsia="zh-CN"/>
        </w:rPr>
        <w:t>。</w:t>
      </w:r>
    </w:p>
    <w:p w14:paraId="580D9BDD">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4、服务商（供应商）在履行其合同义务时，应本着严格管理、热情服务、秉公执行、一丝不苟的原则，按照现行相关法律、法规、规范等要求，运用合同和现代信息化的技能。</w:t>
      </w:r>
    </w:p>
    <w:p w14:paraId="04FC3039">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5、合同期间，如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对委托人委托事项不接收、不配合，委托人有权单方面终止合同，扣除履约保证金，由于提前终止合同带来的相关经济损失由</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承担。</w:t>
      </w:r>
    </w:p>
    <w:p w14:paraId="4F0AEFEE">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保证以客观、公正、精细、尽责的态度完成本次委托。另外，委托人可委托除</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以外的第三方对项目进行复核，如造成委托人直接经济损失，委托人有权向</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提出赔偿请求，根据造成损失情况，扣减服务酬金的10%-30%。</w:t>
      </w:r>
    </w:p>
    <w:p w14:paraId="6B3DB74A">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应按投标文件的要求配备具有相应资质、能力的项目服务人员，</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不得私自更换项目服务人员，如果委托人认为</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提供的服务无法满足自身要求的，有权要求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更换项目人员，直至委托人认为其可胜任为止。</w:t>
      </w:r>
    </w:p>
    <w:p w14:paraId="27EECB5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保证严格遵守职业操守做好保密措施，并对委托人负责。</w:t>
      </w:r>
    </w:p>
    <w:p w14:paraId="7E58A8F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9、擅自将承接的咨询业务转让或委托给第三方，委托人有权单方面解除合同。</w:t>
      </w:r>
    </w:p>
    <w:p w14:paraId="4338F5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kern w:val="2"/>
          <w:sz w:val="21"/>
          <w:szCs w:val="21"/>
          <w:lang w:val="en-US" w:eastAsia="zh-CN" w:bidi="ar"/>
        </w:rPr>
        <w:t>采购人对委托的造价咨询机构业务要求：</w:t>
      </w:r>
    </w:p>
    <w:p w14:paraId="3AC32EA6">
      <w:pPr>
        <w:keepNext w:val="0"/>
        <w:keepLines w:val="0"/>
        <w:pageBreakBefore w:val="0"/>
        <w:tabs>
          <w:tab w:val="left" w:pos="152"/>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执行国家相关的法律法规和规章制度，遵守</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工作程序和相关规定，及时了解最新法律法规、市场信息等。</w:t>
      </w:r>
    </w:p>
    <w:p w14:paraId="13B7AB70">
      <w:pPr>
        <w:keepNext w:val="0"/>
        <w:keepLines w:val="0"/>
        <w:pageBreakBefore w:val="0"/>
        <w:tabs>
          <w:tab w:val="left" w:pos="152"/>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具有独立法人资格，有固定的办公场所，健全的组织机构，完善的技术经济档案管理制度和严格的质量保证体系。</w:t>
      </w:r>
    </w:p>
    <w:p w14:paraId="1C4951A7">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3、具有满足委托造价咨询项目所需的专业技术人员。</w:t>
      </w:r>
      <w:r>
        <w:rPr>
          <w:rFonts w:hint="eastAsia" w:ascii="宋体" w:hAnsi="宋体" w:eastAsia="宋体" w:cs="宋体"/>
          <w:color w:val="auto"/>
          <w:sz w:val="21"/>
          <w:szCs w:val="21"/>
        </w:rPr>
        <w:t>在项目过程中，每个项目</w:t>
      </w:r>
      <w:r>
        <w:rPr>
          <w:rFonts w:hint="eastAsia" w:ascii="宋体" w:hAnsi="宋体" w:eastAsia="宋体" w:cs="宋体"/>
          <w:color w:val="auto"/>
          <w:sz w:val="21"/>
          <w:szCs w:val="21"/>
          <w:lang w:val="en-US" w:eastAsia="zh-CN"/>
        </w:rPr>
        <w:t>至少</w:t>
      </w:r>
      <w:r>
        <w:rPr>
          <w:rFonts w:hint="eastAsia" w:ascii="宋体" w:hAnsi="宋体" w:eastAsia="宋体" w:cs="宋体"/>
          <w:color w:val="auto"/>
          <w:sz w:val="21"/>
          <w:szCs w:val="21"/>
        </w:rPr>
        <w:t>有1名具有执业资格的注册造价工程师</w:t>
      </w:r>
      <w:r>
        <w:rPr>
          <w:rFonts w:hint="eastAsia" w:ascii="宋体" w:hAnsi="宋体" w:eastAsia="宋体" w:cs="宋体"/>
          <w:color w:val="auto"/>
          <w:sz w:val="21"/>
          <w:szCs w:val="21"/>
          <w:lang w:val="en-US" w:eastAsia="zh-CN"/>
        </w:rPr>
        <w:t>并具有相关从业经验的人员担任项目负责人，其他人员具备从业资格及相关专业技术职称。</w:t>
      </w:r>
    </w:p>
    <w:p w14:paraId="0ED28C33">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4、恪守职业道德，对出具评审报告的合法性、合规性、真实性、准确性负责，独立承担相应的法律责任。</w:t>
      </w:r>
    </w:p>
    <w:p w14:paraId="2153FFEB">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5、要有随时接受采购人委托项目造价咨询的能力，并在合同所约定的时间内向采购人提交结果报告。向采购人提供与委托项目相关技术咨询及合理化建议。</w:t>
      </w:r>
    </w:p>
    <w:p w14:paraId="7A93344E">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6、接到采购人委托通知后，需在30分钟内响应，2小时内到达采购人指定地点进行造价咨询服务。</w:t>
      </w:r>
    </w:p>
    <w:p w14:paraId="780A639D">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7、服从采购人的评审计划安排，自觉接受采购人的监督指导和服务质量考核。 </w:t>
      </w:r>
    </w:p>
    <w:p w14:paraId="4D28DCEF">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8、不得以任何形式将委托项目转让给其它中介机构或个人。</w:t>
      </w:r>
    </w:p>
    <w:p w14:paraId="3361C444">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9、应严格遵守国家有关保密规定，不得泄露评审时知悉的国家机密和商业秘密，不得将评审中取得的资料用于评审报告以外的事项。 </w:t>
      </w:r>
    </w:p>
    <w:p w14:paraId="74C2A712">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其他相关</w:t>
      </w:r>
    </w:p>
    <w:p w14:paraId="6B91A568">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1、服务商（供应商）须为采购人提供符合国家行业标准或本招标文件规定标准的、渠道合法的服务。</w:t>
      </w:r>
    </w:p>
    <w:p w14:paraId="38A7BA3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采购人使用服务商（供应商）中标的技术、资料、服务或其他任何一部分时，享有无偿使用权。免受第三方提出的侵犯其专利权、著作权、商标权或其它知识产权的起诉。如果第三方提出侵权指控，服务商（供应商）应承担由此而引起的一切法律责任和费用。</w:t>
      </w:r>
    </w:p>
    <w:bookmarkEnd w:id="1"/>
    <w:bookmarkEnd w:id="2"/>
    <w:bookmarkEnd w:id="3"/>
    <w:bookmarkEnd w:id="4"/>
    <w:bookmarkEnd w:id="5"/>
    <w:bookmarkEnd w:id="6"/>
    <w:bookmarkEnd w:id="7"/>
    <w:bookmarkEnd w:id="8"/>
    <w:p w14:paraId="0981707A">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商务要求</w:t>
      </w:r>
    </w:p>
    <w:p w14:paraId="37230114">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特定资格：</w:t>
      </w:r>
    </w:p>
    <w:p w14:paraId="249AB28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.1资质条件：</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须是中华人民共和国境内合法注册的独立企业法人，具有有效的营业执照。</w:t>
      </w:r>
    </w:p>
    <w:p w14:paraId="2009AA3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.2技术人员：</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具有</w:t>
      </w:r>
      <w:r>
        <w:rPr>
          <w:rFonts w:hint="eastAsia" w:ascii="宋体" w:hAnsi="宋体" w:eastAsia="宋体" w:cs="宋体"/>
          <w:sz w:val="21"/>
          <w:szCs w:val="21"/>
        </w:rPr>
        <w:t>一级注册造价工程师证书的人数不少于10人，其中土建专业、安装专业各</w:t>
      </w:r>
      <w:r>
        <w:rPr>
          <w:rFonts w:hint="eastAsia" w:ascii="宋体" w:hAnsi="宋体" w:eastAsia="宋体" w:cs="宋体"/>
          <w:sz w:val="21"/>
          <w:szCs w:val="21"/>
          <w:highlight w:val="none"/>
        </w:rPr>
        <w:t>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eastAsia="宋体" w:cs="宋体"/>
          <w:sz w:val="21"/>
          <w:szCs w:val="21"/>
        </w:rPr>
        <w:t>，提供“全国建筑市场监管公共服务平台（四库一平台）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p>
    <w:p w14:paraId="6642434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宋体" w:hAnsi="宋体" w:eastAsia="宋体" w:cs="宋体"/>
          <w:sz w:val="21"/>
          <w:szCs w:val="21"/>
          <w:lang w:val="en-US" w:eastAsia="zh-CN"/>
        </w:rPr>
        <w:t>6</w:t>
      </w:r>
      <w:r>
        <w:rPr>
          <w:rFonts w:hint="eastAsia" w:ascii="宋体" w:hAnsi="宋体" w:eastAsia="宋体" w:cs="宋体"/>
          <w:sz w:val="21"/>
          <w:szCs w:val="21"/>
        </w:rPr>
        <w:t>个月的养老保险，在投标人分支机构（非独立法人）缴纳的视同在本单位缴纳。如因相关政策原因未及时缴纳的，</w:t>
      </w:r>
      <w:r>
        <w:rPr>
          <w:rFonts w:hint="eastAsia" w:ascii="宋体" w:hAnsi="宋体" w:eastAsia="宋体" w:cs="宋体"/>
          <w:sz w:val="21"/>
          <w:szCs w:val="21"/>
          <w:highlight w:val="none"/>
        </w:rPr>
        <w:t>需同时提供已缴纳的最近一个月社保证明及政府部门发布的相关政策文件。</w:t>
      </w:r>
    </w:p>
    <w:p w14:paraId="30FC4E7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办公场所要求</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须具有</w:t>
      </w:r>
      <w:r>
        <w:rPr>
          <w:rFonts w:hint="eastAsia" w:ascii="宋体" w:hAnsi="宋体" w:eastAsia="宋体" w:cs="宋体"/>
          <w:sz w:val="21"/>
          <w:szCs w:val="21"/>
        </w:rPr>
        <w:t>固定的办公场所，提供相应所有权（房产证）或使用权（租房协议及房产证）证明材料。</w:t>
      </w:r>
    </w:p>
    <w:p w14:paraId="274256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5必须独立完成项目，不接受任何形式转包，</w:t>
      </w:r>
      <w:r>
        <w:rPr>
          <w:rFonts w:hint="eastAsia" w:ascii="宋体" w:hAnsi="宋体" w:eastAsia="宋体" w:cs="宋体"/>
          <w:sz w:val="21"/>
          <w:szCs w:val="21"/>
        </w:rPr>
        <w:t>本次招标不接受联合体投标。</w:t>
      </w:r>
    </w:p>
    <w:p w14:paraId="698B48C8">
      <w:pPr>
        <w:tabs>
          <w:tab w:val="left" w:pos="1440"/>
        </w:tabs>
        <w:snapToGrid w:val="0"/>
        <w:spacing w:line="360" w:lineRule="auto"/>
        <w:ind w:firstLine="0" w:firstLineChars="0"/>
        <w:jc w:val="both"/>
        <w:rPr>
          <w:rFonts w:hint="eastAsia" w:ascii="宋体" w:hAnsi="宋体" w:eastAsia="宋体" w:cs="宋体"/>
          <w:w w:val="80"/>
          <w:sz w:val="21"/>
          <w:szCs w:val="21"/>
          <w:highlight w:val="none"/>
          <w:u w:val="single"/>
        </w:rPr>
      </w:pPr>
      <w:r>
        <w:rPr>
          <w:rFonts w:hint="eastAsia" w:ascii="宋体" w:hAnsi="宋体" w:eastAsia="宋体" w:cs="宋体"/>
          <w:b/>
          <w:bCs/>
          <w:color w:val="auto"/>
          <w:sz w:val="21"/>
          <w:szCs w:val="21"/>
          <w:highlight w:val="none"/>
          <w:lang w:val="en-US" w:eastAsia="zh-CN"/>
        </w:rPr>
        <w:t>2.采购范围：</w:t>
      </w:r>
      <w:r>
        <w:rPr>
          <w:rFonts w:hint="eastAsia" w:ascii="宋体" w:hAnsi="宋体" w:cs="宋体"/>
          <w:b w:val="0"/>
          <w:bCs w:val="0"/>
          <w:color w:val="auto"/>
          <w:sz w:val="21"/>
          <w:szCs w:val="21"/>
          <w:highlight w:val="none"/>
          <w:lang w:val="en-US" w:eastAsia="zh-CN"/>
        </w:rPr>
        <w:t>确定1家工程造价咨询公司，</w:t>
      </w:r>
      <w:r>
        <w:rPr>
          <w:rFonts w:hint="eastAsia" w:ascii="宋体" w:hAnsi="宋体" w:eastAsia="宋体" w:cs="宋体"/>
          <w:sz w:val="21"/>
          <w:szCs w:val="21"/>
          <w:highlight w:val="none"/>
        </w:rPr>
        <w:t>建设工程造价咨询业务范围：</w:t>
      </w:r>
    </w:p>
    <w:p w14:paraId="3C284158">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“建设工程造价咨询业务”是指以下服务类别的咨询业务：</w:t>
      </w:r>
    </w:p>
    <w:p w14:paraId="37B6A4DD">
      <w:pPr>
        <w:tabs>
          <w:tab w:val="left" w:pos="540"/>
        </w:tabs>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A</w:t>
      </w:r>
      <w:r>
        <w:rPr>
          <w:rFonts w:hint="eastAsia" w:ascii="宋体" w:hAnsi="宋体" w:eastAsia="宋体" w:cs="宋体"/>
          <w:sz w:val="21"/>
          <w:szCs w:val="21"/>
          <w:highlight w:val="none"/>
        </w:rPr>
        <w:t>类）建设项目可行性研究投资估算的编制、审核及项目经济评价；</w:t>
      </w:r>
    </w:p>
    <w:p w14:paraId="0F6A3355">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B</w:t>
      </w:r>
      <w:r>
        <w:rPr>
          <w:rFonts w:hint="eastAsia" w:ascii="宋体" w:hAnsi="宋体" w:eastAsia="宋体" w:cs="宋体"/>
          <w:sz w:val="21"/>
          <w:szCs w:val="21"/>
          <w:highlight w:val="none"/>
        </w:rPr>
        <w:t>类）建设工程概算、预算、结算、竣工结（决）算的编制、审核；</w:t>
      </w:r>
    </w:p>
    <w:p w14:paraId="7E959CB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C</w:t>
      </w:r>
      <w:r>
        <w:rPr>
          <w:rFonts w:hint="eastAsia" w:ascii="宋体" w:hAnsi="宋体" w:eastAsia="宋体" w:cs="宋体"/>
          <w:sz w:val="21"/>
          <w:szCs w:val="21"/>
          <w:highlight w:val="none"/>
        </w:rPr>
        <w:t>类）建设工程招标标底、投标报价的编制、审核；</w:t>
      </w:r>
    </w:p>
    <w:p w14:paraId="6466486D">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D</w:t>
      </w:r>
      <w:r>
        <w:rPr>
          <w:rFonts w:hint="eastAsia" w:ascii="宋体" w:hAnsi="宋体" w:eastAsia="宋体" w:cs="宋体"/>
          <w:sz w:val="21"/>
          <w:szCs w:val="21"/>
          <w:highlight w:val="none"/>
        </w:rPr>
        <w:t>类）工程洽商、变更及合同争议的鉴定与索赔；</w:t>
      </w:r>
    </w:p>
    <w:p w14:paraId="2A41C1A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E</w:t>
      </w:r>
      <w:r>
        <w:rPr>
          <w:rFonts w:hint="eastAsia" w:ascii="宋体" w:hAnsi="宋体" w:eastAsia="宋体" w:cs="宋体"/>
          <w:sz w:val="21"/>
          <w:szCs w:val="21"/>
          <w:highlight w:val="none"/>
        </w:rPr>
        <w:t>类）编制工程造价计价依据及对工程造价进行监控和提供有关工程造价信息</w:t>
      </w:r>
    </w:p>
    <w:p w14:paraId="75E55CD5">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资料等。</w:t>
      </w:r>
    </w:p>
    <w:p w14:paraId="64CB7D0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包含但不限于配合各阶段目标成本编制、核对施工图预算（编制工程量清单、招标控制价）、编制工程用款计划（工程款审核）、核定各项变更、签证费用、编制、核对竣工结算并配合结算审计、派驻造价专业人员现场跟踪成本控制，及完成与成本相关测算等、重计量（如果有）、资金计划、产值、工程款、造价指标等数据核算汇总工作、参与项目认质认价；参与材料、设备询价；资料整理等工作；</w:t>
      </w:r>
      <w:r>
        <w:rPr>
          <w:rFonts w:hint="eastAsia" w:ascii="宋体" w:hAnsi="宋体" w:eastAsia="宋体" w:cs="宋体"/>
          <w:sz w:val="21"/>
          <w:szCs w:val="21"/>
          <w:highlight w:val="none"/>
        </w:rPr>
        <w:t>具体服务内容按项目具体委托事项确定。</w:t>
      </w:r>
    </w:p>
    <w:p w14:paraId="7A92C43E">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质量标准：</w:t>
      </w:r>
      <w:r>
        <w:rPr>
          <w:rFonts w:hint="eastAsia" w:ascii="宋体" w:hAnsi="宋体" w:eastAsia="宋体" w:cs="宋体"/>
          <w:color w:val="auto"/>
          <w:sz w:val="21"/>
          <w:szCs w:val="21"/>
          <w:highlight w:val="none"/>
        </w:rPr>
        <w:t>工程造价咨询成果文件应符合《建设工程造价咨询成果文件质量标准》（CECA/AG7-2012）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服务行为合法</w:t>
      </w:r>
      <w:r>
        <w:rPr>
          <w:rFonts w:hint="eastAsia" w:ascii="宋体" w:hAnsi="宋体" w:eastAsia="宋体" w:cs="宋体"/>
          <w:sz w:val="21"/>
          <w:szCs w:val="21"/>
        </w:rPr>
        <w:t>规范，成果文件客观、公正、完整、清晰，符合国家和地方有关造价管理的规范、标准及招标人要求。</w:t>
      </w:r>
    </w:p>
    <w:p w14:paraId="117EC00A">
      <w:pPr>
        <w:widowControl/>
        <w:shd w:val="clear" w:color="auto" w:fill="FAFCFE"/>
        <w:tabs>
          <w:tab w:val="left" w:pos="720"/>
        </w:tabs>
        <w:snapToGrid w:val="0"/>
        <w:spacing w:line="66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3.最高限价：</w:t>
      </w:r>
      <w:r>
        <w:rPr>
          <w:rFonts w:hint="eastAsia" w:ascii="宋体" w:hAnsi="宋体" w:cs="宋体"/>
          <w:b w:val="0"/>
          <w:bCs w:val="0"/>
          <w:color w:val="auto"/>
          <w:sz w:val="21"/>
          <w:szCs w:val="21"/>
          <w:highlight w:val="none"/>
          <w:lang w:val="en-US" w:eastAsia="zh-CN"/>
        </w:rPr>
        <w:t>《河南省造价咨询收费标准》</w:t>
      </w:r>
      <w:r>
        <w:rPr>
          <w:rFonts w:hint="eastAsia" w:ascii="宋体" w:hAnsi="宋体" w:eastAsia="宋体" w:cs="宋体"/>
          <w:b w:val="0"/>
          <w:bCs w:val="0"/>
          <w:color w:val="auto"/>
          <w:kern w:val="0"/>
          <w:sz w:val="21"/>
          <w:szCs w:val="21"/>
          <w:highlight w:val="none"/>
        </w:rPr>
        <w:t>豫发改收费[2008]2510号</w:t>
      </w:r>
      <w:r>
        <w:rPr>
          <w:rFonts w:hint="eastAsia" w:ascii="宋体" w:hAnsi="宋体" w:cs="宋体"/>
          <w:b w:val="0"/>
          <w:bCs w:val="0"/>
          <w:color w:val="auto"/>
          <w:kern w:val="0"/>
          <w:sz w:val="21"/>
          <w:szCs w:val="21"/>
          <w:highlight w:val="none"/>
          <w:lang w:val="en-US" w:eastAsia="zh-CN"/>
        </w:rPr>
        <w:t>文件规定标准的60%。</w:t>
      </w:r>
    </w:p>
    <w:p w14:paraId="2D7AB7F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服务地点：采购人指定地点</w:t>
      </w:r>
    </w:p>
    <w:p w14:paraId="044865C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服务期限：</w:t>
      </w:r>
      <w:r>
        <w:rPr>
          <w:rFonts w:hint="eastAsia" w:ascii="宋体" w:hAnsi="宋体" w:eastAsia="宋体" w:cs="宋体"/>
          <w:szCs w:val="21"/>
          <w:highlight w:val="none"/>
        </w:rPr>
        <w:t>合同约定为准。</w:t>
      </w:r>
    </w:p>
    <w:p w14:paraId="7F9342A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.履约保证金：</w:t>
      </w:r>
    </w:p>
    <w:p w14:paraId="5DEB0088">
      <w:pPr>
        <w:keepNext w:val="0"/>
        <w:keepLines w:val="0"/>
        <w:pageBreakBefore w:val="0"/>
        <w:numPr>
          <w:ilvl w:val="0"/>
          <w:numId w:val="4"/>
        </w:numPr>
        <w:kinsoku/>
        <w:wordWrap/>
        <w:overflowPunct/>
        <w:topLinePunct w:val="0"/>
        <w:autoSpaceDE/>
        <w:autoSpaceDN/>
        <w:bidi w:val="0"/>
        <w:adjustRightInd/>
        <w:snapToGrid/>
        <w:spacing w:line="360" w:lineRule="auto"/>
        <w:ind w:firstLine="210" w:firstLineChars="100"/>
        <w:textAlignment w:val="auto"/>
        <w:rPr>
          <w:rFonts w:hint="eastAsia" w:ascii="宋体" w:hAnsi="宋体" w:cs="宋体"/>
          <w:b w:val="0"/>
          <w:bCs w:val="0"/>
          <w:color w:val="auto"/>
          <w:sz w:val="21"/>
          <w:szCs w:val="21"/>
          <w:highlight w:val="none"/>
          <w:u w:val="single"/>
          <w:lang w:val="en-US" w:eastAsia="zh-CN"/>
        </w:rPr>
      </w:pPr>
      <w:r>
        <w:rPr>
          <w:rFonts w:hint="eastAsia" w:ascii="宋体" w:hAnsi="宋体" w:eastAsia="宋体" w:cs="宋体"/>
          <w:color w:val="auto"/>
          <w:sz w:val="21"/>
          <w:szCs w:val="21"/>
          <w:highlight w:val="none"/>
        </w:rPr>
        <w:t>服务商（供应商）</w:t>
      </w:r>
      <w:r>
        <w:rPr>
          <w:rFonts w:hint="eastAsia" w:ascii="宋体" w:hAnsi="宋体" w:eastAsia="宋体" w:cs="宋体"/>
          <w:b w:val="0"/>
          <w:bCs w:val="0"/>
          <w:color w:val="auto"/>
          <w:sz w:val="21"/>
          <w:szCs w:val="21"/>
          <w:highlight w:val="none"/>
          <w:lang w:eastAsia="zh-CN"/>
        </w:rPr>
        <w:t>向采购人提交履约保证金，履约保证金的金额为</w:t>
      </w:r>
      <w:r>
        <w:rPr>
          <w:rFonts w:hint="eastAsia" w:ascii="宋体" w:hAnsi="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u w:val="single"/>
          <w:lang w:val="en-US" w:eastAsia="zh-CN"/>
        </w:rPr>
        <w:t>壹万元整。</w:t>
      </w:r>
    </w:p>
    <w:p w14:paraId="203117C8">
      <w:pPr>
        <w:keepNext w:val="0"/>
        <w:keepLines w:val="0"/>
        <w:pageBreakBefore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2、履约保证金缴纳的形式：银行转账或以银行、保险公司出具保函等形式；</w:t>
      </w:r>
    </w:p>
    <w:p w14:paraId="5ABAF72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履约保证金接收账户：河南省胸科医院</w:t>
      </w:r>
    </w:p>
    <w:p w14:paraId="2437B970">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履约保证金接收账号：7607 0157 4000 00953</w:t>
      </w:r>
    </w:p>
    <w:p w14:paraId="7F77FF7C">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开户行：浦东发展银行郑州东明支行</w:t>
      </w:r>
    </w:p>
    <w:p w14:paraId="1CC1B8F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bookmarkStart w:id="9" w:name="_Hlk39601241"/>
      <w:r>
        <w:rPr>
          <w:rFonts w:hint="eastAsia" w:ascii="宋体" w:hAnsi="宋体" w:eastAsia="宋体" w:cs="宋体"/>
          <w:b w:val="0"/>
          <w:bCs w:val="0"/>
          <w:color w:val="auto"/>
          <w:sz w:val="21"/>
          <w:szCs w:val="21"/>
          <w:highlight w:val="none"/>
          <w:lang w:val="en-US" w:eastAsia="zh-CN"/>
        </w:rPr>
        <w:t>3、履约保证金于服务期限满后，依据投标文件，所承诺的优惠条件、服务计划、培训计划等执行到位后，按规定程序办理支付手续，一次性付清。</w:t>
      </w:r>
      <w:bookmarkEnd w:id="9"/>
    </w:p>
    <w:p w14:paraId="47A54FF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付款方式：</w:t>
      </w:r>
      <w:r>
        <w:rPr>
          <w:rFonts w:hint="eastAsia" w:ascii="宋体" w:hAnsi="宋体" w:eastAsia="宋体" w:cs="宋体"/>
          <w:b w:val="0"/>
          <w:bCs w:val="0"/>
          <w:color w:val="auto"/>
          <w:sz w:val="21"/>
          <w:szCs w:val="21"/>
          <w:lang w:val="en-US" w:eastAsia="zh-CN"/>
        </w:rPr>
        <w:t>审计业务完成后一次性付款</w:t>
      </w:r>
      <w:r>
        <w:rPr>
          <w:rFonts w:hint="eastAsia" w:ascii="宋体" w:hAnsi="宋体" w:cs="宋体"/>
          <w:b w:val="0"/>
          <w:bCs w:val="0"/>
          <w:color w:val="auto"/>
          <w:sz w:val="21"/>
          <w:szCs w:val="21"/>
          <w:lang w:val="en-US" w:eastAsia="zh-CN"/>
        </w:rPr>
        <w:t>，</w:t>
      </w:r>
      <w:r>
        <w:rPr>
          <w:rFonts w:hint="eastAsia" w:ascii="宋体" w:hAnsi="宋体" w:eastAsia="宋体" w:cs="宋体"/>
          <w:color w:val="auto"/>
          <w:szCs w:val="21"/>
          <w:highlight w:val="none"/>
        </w:rPr>
        <w:t>甲方自收到乙方发票后</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rPr>
        <w:t>个工作日内将服务费用一次性支付给乙方。</w:t>
      </w:r>
    </w:p>
    <w:p w14:paraId="6046BBC9">
      <w:pPr>
        <w:rPr>
          <w:rFonts w:hint="eastAsia" w:asciiTheme="minorEastAsia" w:hAnsiTheme="minorEastAsia" w:eastAsiaTheme="minorEastAsia" w:cstheme="minorEastAsia"/>
          <w:b/>
          <w:bCs/>
          <w:color w:val="auto"/>
          <w:sz w:val="24"/>
          <w:szCs w:val="24"/>
          <w:lang w:val="en-US" w:eastAsia="zh-CN"/>
        </w:rPr>
      </w:pPr>
    </w:p>
    <w:p w14:paraId="701C90A0">
      <w:pPr>
        <w:pStyle w:val="29"/>
        <w:ind w:left="0" w:leftChars="0" w:firstLine="0" w:firstLineChars="0"/>
        <w:rPr>
          <w:rFonts w:hint="eastAsia" w:asciiTheme="minorEastAsia" w:hAnsiTheme="minorEastAsia" w:eastAsiaTheme="minorEastAsia" w:cstheme="minorEastAsia"/>
          <w:b/>
          <w:bCs/>
          <w:color w:val="auto"/>
          <w:sz w:val="24"/>
          <w:szCs w:val="24"/>
          <w:lang w:val="en-US" w:eastAsia="zh-CN"/>
        </w:rPr>
      </w:pPr>
    </w:p>
    <w:p w14:paraId="69F7F786">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1" w:name="_Toc902"/>
      <w:bookmarkStart w:id="12"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4" w:name="_资格证明文件"/>
      <w:bookmarkEnd w:id="14"/>
      <w:bookmarkStart w:id="15" w:name="_Toc31029"/>
      <w:bookmarkStart w:id="16" w:name="_Toc10534"/>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7" w:name="_Toc4559"/>
      <w:bookmarkStart w:id="18" w:name="_Toc26111"/>
      <w:bookmarkStart w:id="19"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20" w:name="_Toc569"/>
      <w:bookmarkStart w:id="21" w:name="_Toc19319"/>
      <w:bookmarkStart w:id="22" w:name="_Toc24403"/>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3" w:name="_Toc1972"/>
      <w:bookmarkStart w:id="24" w:name="_Toc10542"/>
    </w:p>
    <w:p w14:paraId="11FCB31D">
      <w:pPr>
        <w:pStyle w:val="4"/>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6" w:name="_Toc32668"/>
      <w:bookmarkStart w:id="27" w:name="_Toc31728"/>
      <w:bookmarkStart w:id="28"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28112"/>
      <w:bookmarkStart w:id="31" w:name="_Toc11219"/>
      <w:bookmarkStart w:id="32"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2"/>
    <w:p w14:paraId="6D8B67AE">
      <w:pPr>
        <w:bidi w:val="0"/>
        <w:rPr>
          <w:rFonts w:hint="eastAsia"/>
          <w:lang w:eastAsia="zh-CN"/>
        </w:rPr>
      </w:pPr>
      <w:bookmarkStart w:id="33"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5" w:name="_Toc29119"/>
      <w:r>
        <w:rPr>
          <w:rFonts w:hint="eastAsia"/>
          <w:color w:val="auto"/>
          <w:sz w:val="28"/>
          <w:highlight w:val="none"/>
        </w:rPr>
        <w:t>第二部分商务、技术文件</w:t>
      </w:r>
      <w:bookmarkEnd w:id="35"/>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6"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10" w:firstLineChars="100"/>
              <w:jc w:val="left"/>
              <w:rPr>
                <w:rFonts w:hint="eastAsia" w:ascii="宋体" w:hAnsi="宋体" w:eastAsia="宋体" w:cs="宋体"/>
                <w:sz w:val="24"/>
                <w:szCs w:val="24"/>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22860</wp:posOffset>
                      </wp:positionV>
                      <wp:extent cx="3108960" cy="512445"/>
                      <wp:effectExtent l="4445" t="4445" r="10795" b="16510"/>
                      <wp:wrapNone/>
                      <wp:docPr id="1" name="文本框 1"/>
                      <wp:cNvGraphicFramePr/>
                      <a:graphic xmlns:a="http://schemas.openxmlformats.org/drawingml/2006/main">
                        <a:graphicData uri="http://schemas.microsoft.com/office/word/2010/wordprocessingShape">
                          <wps:wsp>
                            <wps:cNvSpPr txBox="1"/>
                            <wps:spPr>
                              <a:xfrm>
                                <a:off x="3122295" y="3751580"/>
                                <a:ext cx="3108960" cy="512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05pt;margin-top:1.8pt;height:40.35pt;width:244.8pt;z-index:251660288;mso-width-relative:page;mso-height-relative:page;" fillcolor="#FFFFFF [3201]" filled="t" stroked="t" coordsize="21600,21600" o:gfxdata="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pX&#10;bWXUAAAACAEAAA8AAAAAAAAAAQAgAAAAIgAAAGRycy9kb3ducmV2LnhtbFBLAQIUABQAAAAIAIdO&#10;4kBu/7XTYAIAAMMEAAAOAAAAAAAAAAEAIAAAACMBAABkcnMvZTJvRG9jLnhtbFBLBQYAAAAABgAG&#10;AFkBAAD1BQAAAAA=&#10;">
                      <v:fill on="t" focussize="0,0"/>
                      <v:stroke weight="0.5pt" color="#000000 [3204]" joinstyle="round"/>
                      <v:imagedata o:title=""/>
                      <o:lock v:ext="edit" aspectratio="f"/>
                      <v:textbo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v:textbox>
                    </v:shape>
                  </w:pict>
                </mc:Fallback>
              </mc:AlternateContent>
            </w: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ascii="宋体" w:hAnsi="宋体" w:eastAsia="宋体" w:cs="宋体"/>
                <w:szCs w:val="21"/>
                <w:highlight w:val="none"/>
              </w:rPr>
              <w:t>合同约定为准</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7" w:name="_Toc21266"/>
      <w:bookmarkStart w:id="38"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40" w:name="_Toc11982"/>
      <w:bookmarkStart w:id="41" w:name="_Toc23117"/>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2" w:name="_Toc23816"/>
      <w:bookmarkStart w:id="43"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4" w:name="_Toc4948"/>
      <w:bookmarkStart w:id="45" w:name="_Toc2922"/>
      <w:bookmarkStart w:id="46" w:name="_Toc30765"/>
      <w:bookmarkStart w:id="47" w:name="_Toc12801"/>
      <w:bookmarkStart w:id="48" w:name="_Toc10750"/>
      <w:bookmarkStart w:id="49" w:name="_Toc337475928"/>
      <w:bookmarkStart w:id="50" w:name="_Toc29526"/>
      <w:bookmarkStart w:id="51" w:name="_Toc320878714"/>
      <w:bookmarkStart w:id="52" w:name="_Toc15867"/>
      <w:bookmarkStart w:id="53" w:name="_Toc337554798"/>
      <w:bookmarkStart w:id="54" w:name="_Toc349642319"/>
      <w:bookmarkStart w:id="55" w:name="_Toc304219331"/>
      <w:bookmarkStart w:id="56" w:name="_Toc4599"/>
      <w:bookmarkStart w:id="57" w:name="_Toc28583"/>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8" w:name="_Toc8810"/>
      <w:bookmarkStart w:id="59" w:name="_Toc7716"/>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60" w:name="_Toc11154"/>
      <w:bookmarkStart w:id="61" w:name="_Toc17593"/>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978C1E0"/>
    <w:multiLevelType w:val="singleLevel"/>
    <w:tmpl w:val="0978C1E0"/>
    <w:lvl w:ilvl="0" w:tentative="0">
      <w:start w:val="1"/>
      <w:numFmt w:val="decimal"/>
      <w:suff w:val="nothing"/>
      <w:lvlText w:val="%1、"/>
      <w:lvlJc w:val="left"/>
    </w:lvl>
  </w:abstractNum>
  <w:abstractNum w:abstractNumId="2">
    <w:nsid w:val="2B7BE0E8"/>
    <w:multiLevelType w:val="singleLevel"/>
    <w:tmpl w:val="2B7BE0E8"/>
    <w:lvl w:ilvl="0" w:tentative="0">
      <w:start w:val="1"/>
      <w:numFmt w:val="decimal"/>
      <w:lvlText w:val="%1."/>
      <w:lvlJc w:val="left"/>
      <w:pPr>
        <w:tabs>
          <w:tab w:val="left" w:pos="312"/>
        </w:tabs>
      </w:pPr>
      <w:rPr>
        <w:rFonts w:hint="default"/>
        <w:b/>
        <w:bCs/>
      </w:rPr>
    </w:lvl>
  </w:abstractNum>
  <w:abstractNum w:abstractNumId="3">
    <w:nsid w:val="3AC365FA"/>
    <w:multiLevelType w:val="singleLevel"/>
    <w:tmpl w:val="3AC365FA"/>
    <w:lvl w:ilvl="0" w:tentative="0">
      <w:start w:val="2"/>
      <w:numFmt w:val="chineseCounting"/>
      <w:suff w:val="space"/>
      <w:lvlText w:val="%1、"/>
      <w:lvlJc w:val="left"/>
      <w:rPr>
        <w:rFonts w:hint="eastAsia"/>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334B07"/>
    <w:rsid w:val="0F4F7355"/>
    <w:rsid w:val="0F6C6FDB"/>
    <w:rsid w:val="0F8805F1"/>
    <w:rsid w:val="10260301"/>
    <w:rsid w:val="105B2F23"/>
    <w:rsid w:val="10A32505"/>
    <w:rsid w:val="10B310F7"/>
    <w:rsid w:val="10F249ED"/>
    <w:rsid w:val="110D3767"/>
    <w:rsid w:val="11A46BCD"/>
    <w:rsid w:val="11BC20CD"/>
    <w:rsid w:val="12497277"/>
    <w:rsid w:val="124F2BC9"/>
    <w:rsid w:val="128B0606"/>
    <w:rsid w:val="12987059"/>
    <w:rsid w:val="139B5B06"/>
    <w:rsid w:val="13BC6FFC"/>
    <w:rsid w:val="13C27D84"/>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6C0E3D"/>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D007CD"/>
    <w:rsid w:val="27E36980"/>
    <w:rsid w:val="285443B9"/>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2E759B2"/>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CF90C34"/>
    <w:rsid w:val="3D6703A7"/>
    <w:rsid w:val="3D7604D6"/>
    <w:rsid w:val="3DB433F7"/>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334576"/>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AA5338"/>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A51361"/>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DFD1EDB"/>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 w:val="7FE60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7661</Words>
  <Characters>7960</Characters>
  <Lines>315</Lines>
  <Paragraphs>88</Paragraphs>
  <TotalTime>1</TotalTime>
  <ScaleCrop>false</ScaleCrop>
  <LinksUpToDate>false</LinksUpToDate>
  <CharactersWithSpaces>8553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2025-05-12T07:02:35Z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