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河南省胸科医院</w:t>
      </w:r>
      <w:r>
        <w:rPr>
          <w:rFonts w:hint="eastAsia" w:ascii="宋体" w:hAnsi="宋体" w:cs="宋体"/>
          <w:b/>
          <w:sz w:val="40"/>
          <w:szCs w:val="40"/>
          <w:highlight w:val="none"/>
          <w:lang w:eastAsia="zh-CN"/>
        </w:rPr>
        <w:t>生物安全柜采购项目</w:t>
      </w:r>
    </w:p>
    <w:p w14:paraId="22CE72EB">
      <w:pPr>
        <w:ind w:firstLine="803" w:firstLineChars="200"/>
        <w:jc w:val="center"/>
        <w:rPr>
          <w:rFonts w:ascii="宋体" w:hAnsi="宋体" w:cs="宋体"/>
          <w:b/>
          <w:sz w:val="40"/>
          <w:szCs w:val="40"/>
          <w:highlight w:val="none"/>
        </w:rPr>
      </w:pPr>
    </w:p>
    <w:p w14:paraId="7C5C5892">
      <w:pPr>
        <w:jc w:val="center"/>
        <w:rPr>
          <w:rFonts w:ascii="宋体" w:hAnsi="宋体" w:cs="宋体"/>
          <w:b/>
          <w:sz w:val="40"/>
          <w:szCs w:val="40"/>
          <w:highlight w:val="none"/>
        </w:rPr>
      </w:pPr>
    </w:p>
    <w:p w14:paraId="4C9BD491">
      <w:pPr>
        <w:pStyle w:val="2"/>
        <w:rPr>
          <w:highlight w:val="none"/>
        </w:rPr>
      </w:pPr>
    </w:p>
    <w:p w14:paraId="4B9CD38F">
      <w:pPr>
        <w:widowControl/>
        <w:spacing w:line="360" w:lineRule="auto"/>
        <w:jc w:val="center"/>
        <w:outlineLvl w:val="0"/>
        <w:rPr>
          <w:b/>
          <w:sz w:val="52"/>
          <w:szCs w:val="52"/>
          <w:highlight w:val="none"/>
        </w:rPr>
      </w:pPr>
    </w:p>
    <w:p w14:paraId="521B0AF6">
      <w:pPr>
        <w:widowControl/>
        <w:spacing w:line="360" w:lineRule="auto"/>
        <w:jc w:val="center"/>
        <w:outlineLvl w:val="0"/>
        <w:rPr>
          <w:b/>
          <w:sz w:val="52"/>
          <w:szCs w:val="52"/>
          <w:highlight w:val="none"/>
        </w:rPr>
      </w:pPr>
    </w:p>
    <w:p w14:paraId="76FBA114">
      <w:pPr>
        <w:jc w:val="center"/>
        <w:rPr>
          <w:rFonts w:ascii="宋体" w:hAnsi="宋体" w:cs="宋体"/>
          <w:b/>
          <w:sz w:val="84"/>
          <w:highlight w:val="none"/>
        </w:rPr>
      </w:pPr>
      <w:r>
        <w:rPr>
          <w:rFonts w:hint="eastAsia" w:ascii="宋体" w:hAnsi="宋体" w:cs="宋体"/>
          <w:b/>
          <w:sz w:val="84"/>
          <w:highlight w:val="none"/>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058</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生物安全柜采购项目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37DF886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一、项目名称：</w:t>
      </w:r>
    </w:p>
    <w:p w14:paraId="3A00915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河南省胸科医院生物安全柜采购项目</w:t>
      </w:r>
      <w:r>
        <w:rPr>
          <w:rFonts w:hint="default" w:asciiTheme="minorEastAsia" w:hAnsiTheme="minorEastAsia" w:eastAsiaTheme="minorEastAsia" w:cstheme="minorEastAsia"/>
          <w:color w:val="333333"/>
          <w:sz w:val="24"/>
          <w:szCs w:val="24"/>
          <w:highlight w:val="none"/>
        </w:rPr>
        <w:t>。</w:t>
      </w:r>
    </w:p>
    <w:p w14:paraId="1A70F2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24993AD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生物安全柜</w:t>
      </w:r>
      <w:r>
        <w:rPr>
          <w:rFonts w:hint="default" w:asciiTheme="minorEastAsia" w:hAnsiTheme="minorEastAsia" w:eastAsiaTheme="minorEastAsia" w:cstheme="minorEastAsia"/>
          <w:color w:val="333333"/>
          <w:sz w:val="24"/>
          <w:szCs w:val="24"/>
          <w:highlight w:val="none"/>
        </w:rPr>
        <w:t>2台。</w:t>
      </w:r>
    </w:p>
    <w:p w14:paraId="59699C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411B579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万元。</w:t>
      </w:r>
    </w:p>
    <w:p w14:paraId="17FB947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52D7FCE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73CD295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99C3D5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415C268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3EE7362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714B6B0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4E551A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2AD4E61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712E1E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B6A147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2、供应商需具有医疗器械经营许可证或医疗器械经营备案凭证；</w:t>
      </w:r>
    </w:p>
    <w:p w14:paraId="47947F5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3、投标产品具有医疗器械生产许可证、医疗器械产品注册证或医疗器械产品备案凭证；</w:t>
      </w:r>
    </w:p>
    <w:p w14:paraId="3223489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F3F2C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24F10E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73E3BC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25AF1A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（二）方式：将资料清单（见公告末尾）纸质版加盖公章，扫描PDF版发至邮箱zbb65662712@163.com。</w:t>
      </w:r>
    </w:p>
    <w:p w14:paraId="64E1358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六、发布公告的媒介</w:t>
      </w:r>
    </w:p>
    <w:p w14:paraId="16FD852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本次公开议价公告在河南省胸科医院官网发布。</w:t>
      </w:r>
    </w:p>
    <w:p w14:paraId="2FF9298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七、公开议价的时间及地点另行通知。</w:t>
      </w:r>
    </w:p>
    <w:p w14:paraId="5388E55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八、联系事项</w:t>
      </w:r>
    </w:p>
    <w:p w14:paraId="5DF17A1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联系地址：河南省胸科医院招标办公室（郑州市纬五路一号）</w:t>
      </w:r>
    </w:p>
    <w:p w14:paraId="6D789AA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邮</w:t>
      </w:r>
      <w:r>
        <w:rPr>
          <w:rFonts w:hint="eastAsia" w:asciiTheme="minorEastAsia" w:hAnsiTheme="minorEastAsia" w:eastAsiaTheme="minorEastAsia" w:cstheme="minorEastAsia"/>
          <w:color w:val="333333"/>
          <w:sz w:val="24"/>
          <w:szCs w:val="24"/>
          <w:highlight w:val="none"/>
          <w:lang w:val="en-US" w:eastAsia="zh-CN"/>
        </w:rPr>
        <w:t xml:space="preserve">    </w:t>
      </w:r>
      <w:r>
        <w:rPr>
          <w:rFonts w:hint="default" w:asciiTheme="minorEastAsia" w:hAnsiTheme="minorEastAsia" w:eastAsiaTheme="minorEastAsia" w:cstheme="minorEastAsia"/>
          <w:color w:val="333333"/>
          <w:sz w:val="24"/>
          <w:szCs w:val="24"/>
          <w:highlight w:val="none"/>
        </w:rPr>
        <w:t>编：450008</w:t>
      </w:r>
    </w:p>
    <w:p w14:paraId="3347F4E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联系人：李老师</w:t>
      </w:r>
    </w:p>
    <w:p w14:paraId="7FC3C3D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联系电话：0371-65662712    </w:t>
      </w:r>
    </w:p>
    <w:p w14:paraId="6C3D595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邮箱：</w:t>
      </w: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"mailto:zbb65662712@163.com" </w:instrText>
      </w:r>
      <w:r>
        <w:rPr>
          <w:rFonts w:hint="default" w:asciiTheme="minorEastAsia" w:hAnsiTheme="minorEastAsia" w:eastAsiaTheme="minorEastAsia" w:cstheme="minorEastAsia"/>
          <w:color w:val="333333"/>
          <w:sz w:val="24"/>
          <w:szCs w:val="24"/>
          <w:highlight w:val="none"/>
        </w:rPr>
        <w:fldChar w:fldCharType="separate"/>
      </w:r>
      <w:r>
        <w:rPr>
          <w:rFonts w:hint="default" w:asciiTheme="minorEastAsia" w:hAnsiTheme="minorEastAsia" w:eastAsiaTheme="minorEastAsia" w:cstheme="minorEastAsia"/>
          <w:color w:val="333333"/>
          <w:sz w:val="24"/>
          <w:szCs w:val="24"/>
          <w:highlight w:val="none"/>
        </w:rPr>
        <w:t>zbb65662712@163.com</w:t>
      </w:r>
      <w:r>
        <w:rPr>
          <w:rFonts w:hint="default" w:asciiTheme="minorEastAsia" w:hAnsiTheme="minorEastAsia" w:eastAsiaTheme="minorEastAsia" w:cstheme="minorEastAsia"/>
          <w:color w:val="333333"/>
          <w:sz w:val="24"/>
          <w:szCs w:val="24"/>
          <w:highlight w:val="none"/>
        </w:rPr>
        <w:fldChar w:fldCharType="end"/>
      </w:r>
    </w:p>
    <w:p w14:paraId="2E1C588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九、</w:t>
      </w:r>
      <w:r>
        <w:rPr>
          <w:rFonts w:hint="eastAsia" w:asciiTheme="minorEastAsia" w:hAnsiTheme="minorEastAsia" w:eastAsiaTheme="minorEastAsia" w:cstheme="minorEastAsia"/>
          <w:color w:val="333333"/>
          <w:sz w:val="24"/>
          <w:szCs w:val="24"/>
          <w:highlight w:val="none"/>
          <w:lang w:val="en-US" w:eastAsia="zh-CN"/>
        </w:rPr>
        <w:t>监督部门及电话：河南省胸科医院监察室65662810、65662967</w:t>
      </w:r>
    </w:p>
    <w:p w14:paraId="0E079C9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highlight w:val="none"/>
        </w:rPr>
        <w:fldChar w:fldCharType="separate"/>
      </w:r>
      <w:r>
        <w:rPr>
          <w:rFonts w:hint="default" w:asciiTheme="minorEastAsia" w:hAnsiTheme="minorEastAsia" w:eastAsiaTheme="minorEastAsia" w:cstheme="minorEastAsia"/>
          <w:color w:val="333333"/>
          <w:sz w:val="24"/>
          <w:szCs w:val="24"/>
          <w:highlight w:val="none"/>
        </w:rPr>
        <w:t>资料清单</w:t>
      </w:r>
      <w:r>
        <w:rPr>
          <w:rFonts w:hint="default" w:asciiTheme="minorEastAsia" w:hAnsiTheme="minorEastAsia" w:eastAsiaTheme="minorEastAsia" w:cstheme="minorEastAsia"/>
          <w:color w:val="333333"/>
          <w:sz w:val="24"/>
          <w:szCs w:val="24"/>
          <w:highlight w:val="none"/>
        </w:rPr>
        <w:fldChar w:fldCharType="end"/>
      </w:r>
    </w:p>
    <w:p w14:paraId="0C91EBE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lang w:eastAsia="zh-CN"/>
        </w:rPr>
      </w:pPr>
      <w:r>
        <w:rPr>
          <w:rFonts w:hint="eastAsia" w:asciiTheme="minorEastAsia" w:hAnsiTheme="minorEastAsia" w:eastAsiaTheme="minorEastAsia" w:cstheme="minorEastAsia"/>
          <w:color w:val="333333"/>
          <w:sz w:val="24"/>
          <w:szCs w:val="24"/>
          <w:highlight w:val="none"/>
          <w:lang w:eastAsia="zh-CN"/>
        </w:rPr>
        <w:t>议价文件</w:t>
      </w:r>
    </w:p>
    <w:p w14:paraId="56AC426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4A25DD29">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4D315BA5">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数量：2台</w:t>
      </w:r>
    </w:p>
    <w:p w14:paraId="0EB7476B">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2.类别：A2型</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30%外排，70%循环。</w:t>
      </w:r>
    </w:p>
    <w:p w14:paraId="1DB6FF76">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.过滤效率</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99.99%，带有过滤器寿命倒计时报警，过滤器压差报警。</w:t>
      </w:r>
    </w:p>
    <w:p w14:paraId="582C11D0">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.使用风速仪</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对风机（下降风机、外排风机）进行独立控制。</w:t>
      </w:r>
    </w:p>
    <w:p w14:paraId="5B4A0A60">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.风速：设定下降风速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0.3m/s，设定流入风速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0.5m/s。</w:t>
      </w:r>
    </w:p>
    <w:p w14:paraId="44399373">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.安全柜外箱体采用优质冷轧钢板静电粉末喷涂，四面双层结构使工作区在负压通道包围之下始终处于负压状态。</w:t>
      </w:r>
    </w:p>
    <w:p w14:paraId="3482FA33">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.前窗玻璃采用</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6mm厚防紫外线防爆钢化玻璃，能任意升降定位。</w:t>
      </w:r>
    </w:p>
    <w:p w14:paraId="610236AC">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.移动式的一体化操作台面可撑起或取出。</w:t>
      </w:r>
    </w:p>
    <w:p w14:paraId="343242B5">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.玻璃门具备下拉至最底部功能，方便清洁上部玻璃。</w:t>
      </w:r>
    </w:p>
    <w:p w14:paraId="42CFC897">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.彩色显示屏，具有进风风速、下降风速、过滤器状态等显示，搭载智能化按键操作系统。</w:t>
      </w:r>
    </w:p>
    <w:p w14:paraId="3AC40B9D">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.交叉污染保护：菌落数≤2CFU/次。</w:t>
      </w:r>
    </w:p>
    <w:p w14:paraId="0C42A389">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.产品保护：菌落数≤5CFU/次</w:t>
      </w:r>
    </w:p>
    <w:p w14:paraId="65BB0E6E">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.人员安全：保护因子＞1×105</w:t>
      </w:r>
    </w:p>
    <w:p w14:paraId="6721EB03">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.报警功能：具有前窗操作口报警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内部供、排气风机连锁报警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气流波动报警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传感器故障报警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远程报警</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功能</w:t>
      </w:r>
      <w:r>
        <w:rPr>
          <w:rFonts w:hint="eastAsia" w:ascii="宋体" w:hAnsi="宋体" w:cs="宋体"/>
          <w:b w:val="0"/>
          <w:bCs w:val="0"/>
          <w:sz w:val="24"/>
          <w:szCs w:val="24"/>
          <w:lang w:val="en-US" w:eastAsia="zh-CN"/>
        </w:rPr>
        <w:t>。</w:t>
      </w:r>
    </w:p>
    <w:p w14:paraId="6E60864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.工作区正面带有≥2个防水插座。</w:t>
      </w:r>
    </w:p>
    <w:p w14:paraId="518435B8">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.预留高效空气过滤器上游和下游气溶胶浓度测试的采样口。</w:t>
      </w:r>
    </w:p>
    <w:p w14:paraId="33273760">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lang w:val="en-US" w:eastAsia="zh-CN"/>
        </w:rPr>
        <w:t>.万向脚轮，可灵活搬运并平稳固定。</w:t>
      </w:r>
    </w:p>
    <w:p w14:paraId="751A1585">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lang w:val="en-US" w:eastAsia="zh-CN"/>
        </w:rPr>
        <w:t>.集液槽：容积≥4L。</w:t>
      </w:r>
    </w:p>
    <w:p w14:paraId="5BEBFB7C">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19</w:t>
      </w:r>
      <w:r>
        <w:rPr>
          <w:rFonts w:hint="eastAsia" w:ascii="宋体" w:hAnsi="宋体" w:eastAsia="宋体" w:cs="宋体"/>
          <w:b w:val="0"/>
          <w:bCs w:val="0"/>
          <w:sz w:val="24"/>
          <w:szCs w:val="24"/>
          <w:lang w:val="en-US" w:eastAsia="zh-CN"/>
        </w:rPr>
        <w:t>.紫外灯：辐射强度≥400mW/m2。</w:t>
      </w:r>
    </w:p>
    <w:p w14:paraId="49BACDE4">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.紫外灯具有可预约功能。</w:t>
      </w:r>
    </w:p>
    <w:p w14:paraId="4D8FC3F0">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.底架：可拆卸。</w:t>
      </w:r>
    </w:p>
    <w:p w14:paraId="2CF878CD">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.噪音＜67dB(A)。</w:t>
      </w:r>
    </w:p>
    <w:p w14:paraId="3C7E7F50">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.照度≥1000lx</w:t>
      </w:r>
    </w:p>
    <w:p w14:paraId="43DC100F">
      <w:pPr>
        <w:spacing w:line="360" w:lineRule="auto"/>
        <w:rPr>
          <w:rFonts w:hint="eastAsia" w:ascii="宋体" w:hAnsi="宋体"/>
          <w:b/>
          <w:bCs/>
          <w:sz w:val="24"/>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.具有开机自清洁功能。</w:t>
      </w:r>
    </w:p>
    <w:p w14:paraId="38B6E27E">
      <w:pPr>
        <w:spacing w:line="360" w:lineRule="auto"/>
        <w:rPr>
          <w:rFonts w:ascii="宋体" w:hAnsi="宋体"/>
          <w:b/>
          <w:bCs/>
          <w:sz w:val="24"/>
        </w:rPr>
      </w:pPr>
      <w:r>
        <w:rPr>
          <w:rFonts w:hint="eastAsia" w:ascii="宋体" w:hAnsi="宋体"/>
          <w:b/>
          <w:bCs/>
          <w:sz w:val="24"/>
        </w:rPr>
        <w:t>二、商务要求</w:t>
      </w:r>
    </w:p>
    <w:p w14:paraId="752E4994">
      <w:pPr>
        <w:spacing w:line="360" w:lineRule="auto"/>
        <w:rPr>
          <w:rFonts w:ascii="宋体" w:hAnsi="宋体" w:cs="宋体"/>
          <w:sz w:val="24"/>
        </w:rPr>
      </w:pPr>
      <w:r>
        <w:rPr>
          <w:rFonts w:hint="eastAsia" w:ascii="宋体" w:hAnsi="宋体" w:cs="宋体"/>
          <w:sz w:val="24"/>
        </w:rPr>
        <w:t>1.特定资格</w:t>
      </w:r>
    </w:p>
    <w:p w14:paraId="2B3C8AAE">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115666AB">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0F2A656F">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0910EB4E">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96429D0">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225B0DCD">
      <w:pPr>
        <w:spacing w:line="360" w:lineRule="auto"/>
        <w:rPr>
          <w:rFonts w:ascii="宋体" w:hAnsi="宋体" w:cs="宋体"/>
          <w:sz w:val="24"/>
        </w:rPr>
      </w:pPr>
      <w:r>
        <w:rPr>
          <w:rFonts w:hint="eastAsia" w:ascii="宋体" w:hAnsi="宋体" w:cs="宋体"/>
          <w:sz w:val="24"/>
        </w:rPr>
        <w:t>5.履约保证金：无</w:t>
      </w:r>
    </w:p>
    <w:p w14:paraId="314F8D42">
      <w:pPr>
        <w:spacing w:line="360" w:lineRule="auto"/>
        <w:rPr>
          <w:rFonts w:ascii="宋体" w:hAnsi="宋体" w:cs="宋体"/>
          <w:sz w:val="24"/>
        </w:rPr>
      </w:pPr>
      <w:r>
        <w:rPr>
          <w:rFonts w:hint="eastAsia" w:ascii="宋体" w:hAnsi="宋体" w:cs="宋体"/>
          <w:sz w:val="24"/>
        </w:rPr>
        <w:t>6.付款方式：</w:t>
      </w:r>
    </w:p>
    <w:p w14:paraId="6BD8437F">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1E582F10">
      <w:pPr>
        <w:spacing w:line="360" w:lineRule="auto"/>
        <w:ind w:firstLine="240" w:firstLineChars="100"/>
        <w:rPr>
          <w:rFonts w:hint="eastAsia" w:ascii="宋体" w:hAnsi="宋体" w:eastAsia="宋体"/>
          <w:b w:val="0"/>
          <w:bCs w:val="0"/>
          <w:sz w:val="24"/>
          <w:szCs w:val="24"/>
          <w:lang w:val="en-US" w:eastAsia="zh-CN"/>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3266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49642274"/>
      <w:bookmarkStart w:id="39" w:name="_Toc337475887"/>
      <w:bookmarkStart w:id="40" w:name="_Toc337554757"/>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bookmarkStart w:id="67" w:name="_GoBack"/>
      <w:bookmarkEnd w:id="67"/>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15867"/>
      <w:bookmarkStart w:id="52" w:name="_Toc30765"/>
      <w:bookmarkStart w:id="53" w:name="_Toc29526"/>
      <w:bookmarkStart w:id="54" w:name="_Toc337475928"/>
      <w:bookmarkStart w:id="55" w:name="_Toc28583"/>
      <w:bookmarkStart w:id="56" w:name="_Toc10750"/>
      <w:bookmarkStart w:id="57" w:name="_Toc304219331"/>
      <w:bookmarkStart w:id="58" w:name="_Toc349642319"/>
      <w:bookmarkStart w:id="59" w:name="_Toc337554798"/>
      <w:bookmarkStart w:id="60" w:name="_Toc12801"/>
      <w:bookmarkStart w:id="61" w:name="_Toc320878714"/>
      <w:bookmarkStart w:id="62" w:name="_Toc4599"/>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50338"/>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0F43AD1"/>
    <w:rsid w:val="212E7D2A"/>
    <w:rsid w:val="213C39D7"/>
    <w:rsid w:val="21811E94"/>
    <w:rsid w:val="2196292B"/>
    <w:rsid w:val="21A56D1D"/>
    <w:rsid w:val="220646A2"/>
    <w:rsid w:val="22144805"/>
    <w:rsid w:val="22323F2B"/>
    <w:rsid w:val="2274615D"/>
    <w:rsid w:val="229D15A4"/>
    <w:rsid w:val="237F2B13"/>
    <w:rsid w:val="23D379C3"/>
    <w:rsid w:val="23FE7829"/>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36D2"/>
    <w:rsid w:val="519248BF"/>
    <w:rsid w:val="519A080C"/>
    <w:rsid w:val="51DB3777"/>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4908</Words>
  <Characters>5083</Characters>
  <Lines>315</Lines>
  <Paragraphs>88</Paragraphs>
  <TotalTime>4</TotalTime>
  <ScaleCrop>false</ScaleCrop>
  <LinksUpToDate>false</LinksUpToDate>
  <CharactersWithSpaces>5868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2025-05-13T00:48:58Z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