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三甲复审专题汇报视频拍摄制作项目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highlight w:val="none"/>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071</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5ADDC18B">
      <w:pPr>
        <w:pStyle w:val="3"/>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lang w:eastAsia="zh-CN"/>
        </w:rPr>
        <w:t>河南省胸科医院三甲复审专题汇报视频拍摄制作项目</w:t>
      </w:r>
      <w:r>
        <w:rPr>
          <w:rFonts w:hint="eastAsia" w:ascii="宋体" w:hAnsi="宋体"/>
          <w:b/>
          <w:sz w:val="28"/>
          <w:szCs w:val="28"/>
        </w:rPr>
        <w:t xml:space="preserve"> </w:t>
      </w:r>
    </w:p>
    <w:p w14:paraId="11716E89">
      <w:pPr>
        <w:pStyle w:val="3"/>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河南省胸科医院三甲复审专题汇报视频拍摄制作项目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拍摄制作三甲复审专题汇报视频</w:t>
      </w:r>
      <w:r>
        <w:rPr>
          <w:rFonts w:hint="eastAsia" w:asciiTheme="minorEastAsia" w:hAnsiTheme="minorEastAsia" w:eastAsiaTheme="minorEastAsia" w:cstheme="minorEastAsia"/>
          <w:color w:val="333333"/>
          <w:sz w:val="24"/>
          <w:szCs w:val="24"/>
          <w:lang w:val="en-US" w:eastAsia="zh-CN"/>
        </w:rPr>
        <w:t>一部</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23</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8E9D0B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b w:val="0"/>
          <w:bCs w:val="0"/>
          <w:color w:val="auto"/>
          <w:kern w:val="2"/>
          <w:sz w:val="24"/>
          <w:szCs w:val="24"/>
          <w:lang w:val="en-US" w:eastAsia="zh-CN" w:bidi="ar-SA"/>
        </w:rPr>
        <w:t>具有</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《广播电视节目制作经营许可证》</w:t>
      </w:r>
      <w:r>
        <w:rPr>
          <w:rFonts w:hint="default" w:asciiTheme="minorEastAsia" w:hAnsiTheme="minorEastAsia" w:eastAsiaTheme="minorEastAsia" w:cstheme="minorEastAsia"/>
          <w:color w:val="333333"/>
          <w:sz w:val="24"/>
          <w:szCs w:val="24"/>
        </w:rPr>
        <w:t>；</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20EE42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2EA6F83A">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lang w:eastAsia="zh-CN"/>
        </w:rPr>
        <w:t>一、</w:t>
      </w:r>
      <w:r>
        <w:rPr>
          <w:rFonts w:hint="eastAsia" w:ascii="黑体" w:hAnsi="黑体" w:eastAsia="黑体" w:cs="黑体"/>
          <w:b w:val="0"/>
          <w:bCs w:val="0"/>
          <w:color w:val="auto"/>
          <w:kern w:val="2"/>
          <w:sz w:val="24"/>
          <w:szCs w:val="24"/>
          <w:lang w:val="en-US" w:eastAsia="zh-CN" w:bidi="ar-SA"/>
        </w:rPr>
        <w:t>技术要求：</w:t>
      </w:r>
    </w:p>
    <w:p w14:paraId="62FC22C1">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1.汇报片时长：30</w:t>
      </w:r>
      <w:r>
        <w:rPr>
          <w:rFonts w:hint="eastAsia" w:asciiTheme="minorEastAsia" w:hAnsiTheme="minorEastAsia" w:eastAsiaTheme="minorEastAsia" w:cstheme="minorEastAsia"/>
          <w:b w:val="0"/>
          <w:bCs w:val="0"/>
          <w:color w:val="auto"/>
          <w:kern w:val="2"/>
          <w:sz w:val="24"/>
          <w:szCs w:val="24"/>
          <w:lang w:val="en-US" w:eastAsia="zh-CN" w:bidi="ar-SA"/>
        </w:rPr>
        <w:t>分钟左右</w:t>
      </w:r>
    </w:p>
    <w:p w14:paraId="34A9BD76">
      <w:pPr>
        <w:keepNext w:val="0"/>
        <w:keepLines w:val="0"/>
        <w:pageBreakBefore w:val="0"/>
        <w:widowControl w:val="0"/>
        <w:kinsoku/>
        <w:wordWrap/>
        <w:overflowPunct/>
        <w:topLinePunct w:val="0"/>
        <w:autoSpaceDE/>
        <w:autoSpaceDN/>
        <w:bidi w:val="0"/>
        <w:adjustRightInd/>
        <w:snapToGrid/>
        <w:spacing w:line="240" w:lineRule="auto"/>
        <w:ind w:left="420" w:leftChars="2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2.拍摄主题：</w:t>
      </w:r>
      <w:bookmarkStart w:id="1" w:name="OLE_LINK1"/>
      <w:r>
        <w:rPr>
          <w:rFonts w:hint="eastAsia" w:asciiTheme="minorEastAsia" w:hAnsiTheme="minorEastAsia" w:eastAsiaTheme="minorEastAsia" w:cstheme="minorEastAsia"/>
          <w:b w:val="0"/>
          <w:bCs w:val="0"/>
          <w:color w:val="auto"/>
          <w:kern w:val="2"/>
          <w:sz w:val="24"/>
          <w:szCs w:val="24"/>
          <w:lang w:val="en-US" w:eastAsia="zh-CN" w:bidi="ar-SA"/>
        </w:rPr>
        <w:t>展示医院三甲创建以来</w:t>
      </w:r>
      <w:r>
        <w:rPr>
          <w:rFonts w:hint="eastAsia"/>
          <w:b w:val="0"/>
          <w:bCs w:val="0"/>
          <w:sz w:val="24"/>
          <w:szCs w:val="24"/>
          <w:lang w:val="en-US" w:eastAsia="zh-CN"/>
        </w:rPr>
        <w:t>医疗质量、安全、服务、管理、绩效等方面的持续改进成果与亮点。</w:t>
      </w:r>
    </w:p>
    <w:bookmarkEnd w:id="1"/>
    <w:p w14:paraId="4F5AAFA0">
      <w:pPr>
        <w:keepNext w:val="0"/>
        <w:keepLines w:val="0"/>
        <w:pageBreakBefore w:val="0"/>
        <w:widowControl w:val="0"/>
        <w:kinsoku/>
        <w:wordWrap/>
        <w:overflowPunct/>
        <w:topLinePunct w:val="0"/>
        <w:autoSpaceDE/>
        <w:autoSpaceDN/>
        <w:bidi w:val="0"/>
        <w:adjustRightInd/>
        <w:snapToGrid/>
        <w:spacing w:line="240" w:lineRule="auto"/>
        <w:ind w:left="420" w:leftChars="200"/>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3.服务要求：</w:t>
      </w:r>
    </w:p>
    <w:p w14:paraId="30173F46">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3.1汇报片报价包含文案策划、拍摄、剪辑、配音配乐、后期制作（片头、片尾、影片特效）等全部服务总价；</w:t>
      </w:r>
    </w:p>
    <w:p w14:paraId="7A3EF083">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3.2供应商要有完整的拍摄团队、制作团队（包含但不限于策划、制片、导演、摄影、灯光、化妆、道具、美术、场工等）和配套摄影摄像设备（包含但不限于不低于4k的电影级摄像机、摇臂、轨道、升降、无人机、录音器材、影视灯光等），能够完全满足所有视频的拍摄制作需求；导演、编剧、摄影师、后期特效师等核心成员须具备3年以上行业经验；</w:t>
      </w:r>
    </w:p>
    <w:p w14:paraId="20E97B62">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3.3供应商要有省市级卫生系统专业策划拍摄三甲创建视频经验，需在提供近3年内2个以上医疗卫生系统三甲创建或复审案例。</w:t>
      </w:r>
    </w:p>
    <w:p w14:paraId="46216F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4.技术标准：</w:t>
      </w:r>
    </w:p>
    <w:p w14:paraId="0BAC5812">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4.1汇报片分辨率为4K（3840×2160）及以上，帧率25fps；按照要求采用航拍、地拍等多种方式相结合进行拍摄；</w:t>
      </w:r>
    </w:p>
    <w:p w14:paraId="01FBDE7B">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4.2视频拍摄及后期制作的视频画幅为16:9，无加帧、抽帧、坏帧；画面清晰流畅且经过达芬奇或同级别软件校对颜色，HDR标准输出；</w:t>
      </w:r>
    </w:p>
    <w:p w14:paraId="00B0391C">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lang w:val="en-US" w:eastAsia="zh-CN" w:bidi="ar-SA"/>
        </w:rPr>
        <w:t>4.3音频为48kHz/24bit立体声，配乐和音效处理得当</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；由具有3年以上从业经验的专业配音师进行配音，声音清晰稳定，有准确无误的中文字幕，背景音乐需提供版权授权证明；</w:t>
      </w:r>
    </w:p>
    <w:p w14:paraId="48439CA4">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4.4最终提供数据文件一套（AVI格式及MOV格式各一份）及相关素材。</w:t>
      </w:r>
    </w:p>
    <w:p w14:paraId="51174C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5.其他要求</w:t>
      </w:r>
    </w:p>
    <w:p w14:paraId="55B44FB6">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5.1自汇报片验收合格一年内，能够基于现有素材，免费提供2次视频大修改（如视频全片整体结构调整）服务，定稿前提供细节修改。</w:t>
      </w:r>
    </w:p>
    <w:p w14:paraId="4271DB50">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5.2全部视频素材版权归采购人所有，中标商对采购人提供的所有关于视频拍摄、制作的相关影音、文字、文件、图像等严格保密，未经允许不得使用。</w:t>
      </w:r>
    </w:p>
    <w:p w14:paraId="45D61712">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5.3接到采购人通知后，供应商在24小时内响应采购人的拍摄需求，服从相关职能部门的工作安排。</w:t>
      </w:r>
    </w:p>
    <w:p w14:paraId="727B623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auto"/>
          <w:sz w:val="24"/>
          <w:lang w:eastAsia="zh-CN"/>
        </w:rPr>
      </w:pPr>
      <w:r>
        <w:rPr>
          <w:rFonts w:hint="eastAsia" w:ascii="黑体" w:hAnsi="黑体" w:eastAsia="黑体" w:cs="黑体"/>
          <w:b w:val="0"/>
          <w:bCs w:val="0"/>
          <w:color w:val="auto"/>
          <w:sz w:val="24"/>
          <w:lang w:val="en-US" w:eastAsia="zh-CN"/>
        </w:rPr>
        <w:t>二、</w:t>
      </w:r>
      <w:r>
        <w:rPr>
          <w:rFonts w:hint="eastAsia" w:ascii="黑体" w:hAnsi="黑体" w:eastAsia="黑体" w:cs="黑体"/>
          <w:b w:val="0"/>
          <w:bCs w:val="0"/>
          <w:color w:val="auto"/>
          <w:sz w:val="24"/>
          <w:lang w:eastAsia="zh-CN"/>
        </w:rPr>
        <w:t>商务要求</w:t>
      </w:r>
    </w:p>
    <w:p w14:paraId="6A2ED146">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auto"/>
          <w:kern w:val="2"/>
          <w:sz w:val="24"/>
          <w:szCs w:val="24"/>
          <w:lang w:val="en-US" w:eastAsia="zh-CN" w:bidi="ar-SA"/>
        </w:rPr>
        <w:t>1.特定资格：</w:t>
      </w:r>
      <w:r>
        <w:rPr>
          <w:rFonts w:hint="eastAsia" w:asciiTheme="minorEastAsia" w:hAnsiTheme="minorEastAsia" w:eastAsiaTheme="minorEastAsia" w:cstheme="minorEastAsia"/>
          <w:b w:val="0"/>
          <w:bCs w:val="0"/>
          <w:color w:val="auto"/>
          <w:kern w:val="2"/>
          <w:sz w:val="24"/>
          <w:szCs w:val="24"/>
          <w:lang w:val="en-US" w:eastAsia="zh-CN" w:bidi="ar-SA"/>
        </w:rPr>
        <w:t>具有</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《广播电视节目制作经营许可证》</w:t>
      </w:r>
    </w:p>
    <w:p w14:paraId="5B367617">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2.采购范围：</w:t>
      </w:r>
      <w:r>
        <w:rPr>
          <w:rFonts w:hint="eastAsia" w:asciiTheme="minorEastAsia" w:hAnsiTheme="minorEastAsia" w:eastAsiaTheme="minorEastAsia" w:cstheme="minorEastAsia"/>
          <w:b w:val="0"/>
          <w:bCs w:val="0"/>
          <w:color w:val="auto"/>
          <w:kern w:val="2"/>
          <w:sz w:val="24"/>
          <w:szCs w:val="24"/>
          <w:lang w:val="en-US" w:eastAsia="zh-CN" w:bidi="ar-SA"/>
        </w:rPr>
        <w:t>无</w:t>
      </w:r>
    </w:p>
    <w:p w14:paraId="6A95AD7E">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3.质量标准：</w:t>
      </w:r>
      <w:r>
        <w:rPr>
          <w:rFonts w:hint="eastAsia" w:asciiTheme="minorEastAsia" w:hAnsiTheme="minorEastAsia" w:eastAsiaTheme="minorEastAsia" w:cstheme="minorEastAsia"/>
          <w:b w:val="0"/>
          <w:bCs w:val="0"/>
          <w:color w:val="auto"/>
          <w:kern w:val="2"/>
          <w:sz w:val="24"/>
          <w:szCs w:val="24"/>
          <w:lang w:val="en-US" w:eastAsia="zh-CN" w:bidi="ar-SA"/>
        </w:rPr>
        <w:t>国家合格标准</w:t>
      </w:r>
    </w:p>
    <w:p w14:paraId="26925215">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4.交付时间：</w:t>
      </w:r>
      <w:r>
        <w:rPr>
          <w:rFonts w:hint="eastAsia" w:asciiTheme="minorEastAsia" w:hAnsiTheme="minorEastAsia" w:eastAsiaTheme="minorEastAsia" w:cstheme="minorEastAsia"/>
          <w:b w:val="0"/>
          <w:bCs w:val="0"/>
          <w:color w:val="auto"/>
          <w:kern w:val="2"/>
          <w:sz w:val="24"/>
          <w:szCs w:val="24"/>
          <w:lang w:val="en-US" w:eastAsia="zh-CN" w:bidi="ar-SA"/>
        </w:rPr>
        <w:t>合同签订后15个日历日内交付成片</w:t>
      </w:r>
    </w:p>
    <w:p w14:paraId="7C7C8C7F">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5.服务地点：</w:t>
      </w:r>
      <w:r>
        <w:rPr>
          <w:rFonts w:hint="eastAsia" w:asciiTheme="minorEastAsia" w:hAnsiTheme="minorEastAsia" w:eastAsiaTheme="minorEastAsia" w:cstheme="minorEastAsia"/>
          <w:b w:val="0"/>
          <w:bCs w:val="0"/>
          <w:color w:val="auto"/>
          <w:kern w:val="2"/>
          <w:sz w:val="24"/>
          <w:szCs w:val="24"/>
          <w:lang w:val="en-US" w:eastAsia="zh-CN" w:bidi="ar-SA"/>
        </w:rPr>
        <w:t>采购人指定地点</w:t>
      </w:r>
    </w:p>
    <w:p w14:paraId="5C18D2F2">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6.服务期限：</w:t>
      </w:r>
      <w:r>
        <w:rPr>
          <w:rFonts w:hint="eastAsia" w:asciiTheme="minorEastAsia" w:hAnsiTheme="minorEastAsia" w:eastAsiaTheme="minorEastAsia" w:cstheme="minorEastAsia"/>
          <w:b w:val="0"/>
          <w:bCs w:val="0"/>
          <w:color w:val="auto"/>
          <w:kern w:val="2"/>
          <w:sz w:val="24"/>
          <w:szCs w:val="24"/>
          <w:lang w:val="en-US" w:eastAsia="zh-CN" w:bidi="ar-SA"/>
        </w:rPr>
        <w:t>1年</w:t>
      </w:r>
    </w:p>
    <w:p w14:paraId="1D15C7D5">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7.</w:t>
      </w:r>
      <w:r>
        <w:rPr>
          <w:rFonts w:hint="default" w:asciiTheme="minorEastAsia" w:hAnsiTheme="minorEastAsia" w:eastAsiaTheme="minorEastAsia" w:cstheme="minorEastAsia"/>
          <w:b/>
          <w:bCs/>
          <w:color w:val="auto"/>
          <w:kern w:val="2"/>
          <w:sz w:val="24"/>
          <w:szCs w:val="24"/>
          <w:lang w:val="en-US" w:eastAsia="zh-CN" w:bidi="ar-SA"/>
        </w:rPr>
        <w:t>履约保证金：</w:t>
      </w:r>
    </w:p>
    <w:p w14:paraId="63F35C80">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7</w:t>
      </w:r>
      <w:r>
        <w:rPr>
          <w:rFonts w:hint="default" w:asciiTheme="minorEastAsia" w:hAnsiTheme="minorEastAsia" w:eastAsiaTheme="minorEastAsia" w:cstheme="minorEastAsia"/>
          <w:b w:val="0"/>
          <w:bCs w:val="0"/>
          <w:color w:val="auto"/>
          <w:kern w:val="2"/>
          <w:sz w:val="24"/>
          <w:szCs w:val="24"/>
          <w:lang w:val="en-US" w:eastAsia="zh-CN" w:bidi="ar-SA"/>
        </w:rPr>
        <w:t xml:space="preserve">.1履约保证金的金额为合同总价的5%； </w:t>
      </w:r>
    </w:p>
    <w:p w14:paraId="16303BFE">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7</w:t>
      </w:r>
      <w:r>
        <w:rPr>
          <w:rFonts w:hint="default" w:asciiTheme="minorEastAsia" w:hAnsiTheme="minorEastAsia" w:eastAsiaTheme="minorEastAsia" w:cstheme="minorEastAsia"/>
          <w:b w:val="0"/>
          <w:bCs w:val="0"/>
          <w:color w:val="auto"/>
          <w:kern w:val="2"/>
          <w:sz w:val="24"/>
          <w:szCs w:val="24"/>
          <w:lang w:val="en-US" w:eastAsia="zh-CN" w:bidi="ar-SA"/>
        </w:rPr>
        <w:t>.2履约保证金采用“银行转账”的方式提交：</w:t>
      </w:r>
    </w:p>
    <w:p w14:paraId="57F4D0A6">
      <w:pPr>
        <w:keepNext w:val="0"/>
        <w:keepLines w:val="0"/>
        <w:pageBreakBefore w:val="0"/>
        <w:widowControl w:val="0"/>
        <w:kinsoku/>
        <w:wordWrap/>
        <w:overflowPunct/>
        <w:topLinePunct w:val="0"/>
        <w:autoSpaceDE/>
        <w:autoSpaceDN/>
        <w:bidi w:val="0"/>
        <w:adjustRightInd/>
        <w:snapToGrid/>
        <w:spacing w:line="240" w:lineRule="auto"/>
        <w:ind w:left="481" w:leftChars="229"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default" w:asciiTheme="minorEastAsia" w:hAnsiTheme="minorEastAsia" w:eastAsiaTheme="minorEastAsia" w:cstheme="minorEastAsia"/>
          <w:b w:val="0"/>
          <w:bCs w:val="0"/>
          <w:color w:val="auto"/>
          <w:kern w:val="2"/>
          <w:sz w:val="24"/>
          <w:szCs w:val="24"/>
          <w:lang w:val="en-US" w:eastAsia="zh-CN" w:bidi="ar-SA"/>
        </w:rPr>
        <w:t xml:space="preserve"> </w:t>
      </w:r>
      <w:r>
        <w:rPr>
          <w:rFonts w:hint="eastAsia" w:asciiTheme="minorEastAsia" w:hAnsiTheme="minorEastAsia" w:eastAsiaTheme="minorEastAsia" w:cstheme="minorEastAsia"/>
          <w:b w:val="0"/>
          <w:bCs w:val="0"/>
          <w:color w:val="auto"/>
          <w:kern w:val="2"/>
          <w:sz w:val="24"/>
          <w:szCs w:val="24"/>
          <w:lang w:val="en-US" w:eastAsia="zh-CN" w:bidi="ar-SA"/>
        </w:rPr>
        <w:t xml:space="preserve">  </w:t>
      </w:r>
      <w:r>
        <w:rPr>
          <w:rFonts w:hint="default" w:asciiTheme="minorEastAsia" w:hAnsiTheme="minorEastAsia" w:eastAsiaTheme="minorEastAsia" w:cstheme="minorEastAsia"/>
          <w:b w:val="0"/>
          <w:bCs w:val="0"/>
          <w:color w:val="auto"/>
          <w:kern w:val="2"/>
          <w:sz w:val="24"/>
          <w:szCs w:val="24"/>
          <w:lang w:val="en-US" w:eastAsia="zh-CN" w:bidi="ar-SA"/>
        </w:rPr>
        <w:t>履约保证金接收账户：河南省胸科医院</w:t>
      </w:r>
    </w:p>
    <w:p w14:paraId="721340A0">
      <w:pPr>
        <w:keepNext w:val="0"/>
        <w:keepLines w:val="0"/>
        <w:pageBreakBefore w:val="0"/>
        <w:widowControl w:val="0"/>
        <w:kinsoku/>
        <w:wordWrap/>
        <w:overflowPunct/>
        <w:topLinePunct w:val="0"/>
        <w:autoSpaceDE/>
        <w:autoSpaceDN/>
        <w:bidi w:val="0"/>
        <w:adjustRightInd/>
        <w:snapToGrid/>
        <w:spacing w:line="240" w:lineRule="auto"/>
        <w:ind w:left="481" w:leftChars="229" w:firstLine="480" w:firstLineChars="2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default" w:asciiTheme="minorEastAsia" w:hAnsiTheme="minorEastAsia" w:eastAsiaTheme="minorEastAsia" w:cstheme="minorEastAsia"/>
          <w:b w:val="0"/>
          <w:bCs w:val="0"/>
          <w:color w:val="auto"/>
          <w:kern w:val="2"/>
          <w:sz w:val="24"/>
          <w:szCs w:val="24"/>
          <w:lang w:val="en-US" w:eastAsia="zh-CN" w:bidi="ar-SA"/>
        </w:rPr>
        <w:t xml:space="preserve"> 履约保证金接收账号：7607 0157 4000 00953</w:t>
      </w:r>
    </w:p>
    <w:p w14:paraId="595EA6E3">
      <w:pPr>
        <w:keepNext w:val="0"/>
        <w:keepLines w:val="0"/>
        <w:pageBreakBefore w:val="0"/>
        <w:widowControl w:val="0"/>
        <w:kinsoku/>
        <w:wordWrap/>
        <w:overflowPunct/>
        <w:topLinePunct w:val="0"/>
        <w:autoSpaceDE/>
        <w:autoSpaceDN/>
        <w:bidi w:val="0"/>
        <w:adjustRightInd/>
        <w:snapToGrid/>
        <w:spacing w:line="240" w:lineRule="auto"/>
        <w:ind w:left="481" w:leftChars="229" w:firstLine="480" w:firstLineChars="2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default" w:asciiTheme="minorEastAsia" w:hAnsiTheme="minorEastAsia" w:eastAsiaTheme="minorEastAsia" w:cstheme="minorEastAsia"/>
          <w:b w:val="0"/>
          <w:bCs w:val="0"/>
          <w:color w:val="auto"/>
          <w:kern w:val="2"/>
          <w:sz w:val="24"/>
          <w:szCs w:val="24"/>
          <w:lang w:val="en-US" w:eastAsia="zh-CN" w:bidi="ar-SA"/>
        </w:rPr>
        <w:t xml:space="preserve"> 开户行：浦东发展银行郑州东明支行</w:t>
      </w:r>
    </w:p>
    <w:p w14:paraId="3FE138E1">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7</w:t>
      </w:r>
      <w:r>
        <w:rPr>
          <w:rFonts w:hint="default" w:asciiTheme="minorEastAsia" w:hAnsiTheme="minorEastAsia" w:eastAsiaTheme="minorEastAsia" w:cstheme="minorEastAsia"/>
          <w:b w:val="0"/>
          <w:bCs w:val="0"/>
          <w:color w:val="auto"/>
          <w:kern w:val="2"/>
          <w:sz w:val="24"/>
          <w:szCs w:val="24"/>
          <w:lang w:val="en-US" w:eastAsia="zh-CN" w:bidi="ar-SA"/>
        </w:rPr>
        <w:t>.3履约保证金于服务期满后，依据响应文件，所承诺的优惠条件、售后服务计划、培训计划等执行到位后，按规定程序办理支付手续，一次性付清。</w:t>
      </w:r>
    </w:p>
    <w:p w14:paraId="5925FCCB">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8.</w:t>
      </w:r>
      <w:r>
        <w:rPr>
          <w:rFonts w:hint="default" w:asciiTheme="minorEastAsia" w:hAnsiTheme="minorEastAsia" w:eastAsiaTheme="minorEastAsia" w:cstheme="minorEastAsia"/>
          <w:b/>
          <w:bCs/>
          <w:color w:val="auto"/>
          <w:kern w:val="2"/>
          <w:sz w:val="24"/>
          <w:szCs w:val="24"/>
          <w:lang w:val="en-US" w:eastAsia="zh-CN" w:bidi="ar-SA"/>
        </w:rPr>
        <w:t>付款方式：</w:t>
      </w:r>
    </w:p>
    <w:p w14:paraId="3CD8D32B">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default" w:asciiTheme="minorEastAsia" w:hAnsiTheme="minorEastAsia" w:eastAsiaTheme="minorEastAsia" w:cstheme="minorEastAsia"/>
          <w:b w:val="0"/>
          <w:bCs w:val="0"/>
          <w:color w:val="auto"/>
          <w:kern w:val="2"/>
          <w:sz w:val="24"/>
          <w:szCs w:val="24"/>
          <w:lang w:val="en-US" w:eastAsia="zh-CN" w:bidi="ar-SA"/>
        </w:rPr>
        <w:t>双方签订合同，达到验收标准，并经医院相关部门验收合格后，收到供应商开具的国家正规发票三十个工作日内一次性支付合同金额100%。</w:t>
      </w:r>
    </w:p>
    <w:p w14:paraId="52503004">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8.是否专门面向中小企业（200万以下的货物、服务）：</w:t>
      </w:r>
      <w:r>
        <w:rPr>
          <w:rFonts w:hint="eastAsia" w:asciiTheme="minorEastAsia" w:hAnsiTheme="minorEastAsia" w:eastAsiaTheme="minorEastAsia" w:cstheme="minorEastAsia"/>
          <w:b w:val="0"/>
          <w:bCs w:val="0"/>
          <w:color w:val="auto"/>
          <w:kern w:val="2"/>
          <w:sz w:val="24"/>
          <w:szCs w:val="24"/>
          <w:lang w:val="en-US" w:eastAsia="zh-CN" w:bidi="ar-SA"/>
        </w:rPr>
        <w:t>否</w:t>
      </w:r>
    </w:p>
    <w:p w14:paraId="1D308EEE">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2" w:name="_Toc24908"/>
      <w:r>
        <w:rPr>
          <w:rFonts w:hint="eastAsia"/>
          <w:color w:val="auto"/>
          <w:sz w:val="28"/>
          <w:highlight w:val="none"/>
        </w:rPr>
        <w:t>第一部分资格证明文件</w:t>
      </w:r>
      <w:bookmarkEnd w:id="2"/>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3" w:name="_Toc902"/>
      <w:bookmarkStart w:id="4"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3"/>
      <w:bookmarkEnd w:id="4"/>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5"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5"/>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6" w:name="_资格证明文件"/>
      <w:bookmarkEnd w:id="6"/>
      <w:bookmarkStart w:id="7" w:name="_Toc31029"/>
      <w:bookmarkStart w:id="8" w:name="_Toc10534"/>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7"/>
      <w:bookmarkEnd w:id="8"/>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9" w:name="_Toc4559"/>
      <w:bookmarkStart w:id="10" w:name="_Toc26111"/>
      <w:bookmarkStart w:id="11" w:name="_Toc11890"/>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9"/>
      <w:bookmarkEnd w:id="10"/>
      <w:bookmarkEnd w:id="11"/>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2" w:name="_Toc24403"/>
      <w:bookmarkStart w:id="13" w:name="_Toc19319"/>
      <w:bookmarkStart w:id="14" w:name="_Toc56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2"/>
      <w:bookmarkEnd w:id="13"/>
      <w:bookmarkEnd w:id="14"/>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5" w:name="_Toc10542"/>
      <w:bookmarkStart w:id="16" w:name="_Toc1972"/>
    </w:p>
    <w:p w14:paraId="11FCB31D">
      <w:pPr>
        <w:pStyle w:val="4"/>
        <w:spacing w:before="0" w:after="0"/>
        <w:jc w:val="center"/>
        <w:rPr>
          <w:color w:val="auto"/>
          <w:sz w:val="28"/>
          <w:szCs w:val="28"/>
          <w:highlight w:val="none"/>
        </w:rPr>
      </w:pPr>
      <w:bookmarkStart w:id="17" w:name="_Toc32290"/>
      <w:r>
        <w:rPr>
          <w:rFonts w:hint="eastAsia"/>
          <w:color w:val="auto"/>
          <w:sz w:val="28"/>
          <w:szCs w:val="28"/>
          <w:highlight w:val="none"/>
        </w:rPr>
        <w:t>五、有依法缴纳税收和社会保障资金的良好记录</w:t>
      </w:r>
      <w:bookmarkEnd w:id="15"/>
      <w:bookmarkEnd w:id="16"/>
      <w:bookmarkEnd w:id="17"/>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8" w:name="_Toc32668"/>
      <w:bookmarkStart w:id="19" w:name="_Toc31728"/>
      <w:bookmarkStart w:id="20"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8"/>
      <w:bookmarkEnd w:id="19"/>
      <w:bookmarkEnd w:id="20"/>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1" w:name="_Toc925"/>
      <w:r>
        <w:rPr>
          <w:rFonts w:hint="eastAsia"/>
          <w:color w:val="auto"/>
          <w:sz w:val="24"/>
          <w:highlight w:val="none"/>
        </w:rPr>
        <w:br w:type="page"/>
      </w:r>
      <w:bookmarkEnd w:id="21"/>
      <w:bookmarkStart w:id="22" w:name="_Toc11219"/>
      <w:bookmarkStart w:id="23" w:name="_Toc28112"/>
      <w:bookmarkStart w:id="24"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2"/>
      <w:bookmarkEnd w:id="23"/>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4"/>
    <w:p w14:paraId="6D8B67AE">
      <w:pPr>
        <w:bidi w:val="0"/>
        <w:rPr>
          <w:rFonts w:hint="eastAsia"/>
          <w:lang w:eastAsia="zh-CN"/>
        </w:rPr>
      </w:pPr>
      <w:bookmarkStart w:id="25"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九、无关联关系声明</w:t>
      </w:r>
      <w:bookmarkEnd w:id="25"/>
      <w:bookmarkEnd w:id="26"/>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7" w:name="_Toc29119"/>
      <w:r>
        <w:rPr>
          <w:rFonts w:hint="eastAsia"/>
          <w:color w:val="auto"/>
          <w:sz w:val="28"/>
          <w:highlight w:val="none"/>
        </w:rPr>
        <w:t>第二部分商务、技术文件</w:t>
      </w:r>
      <w:bookmarkEnd w:id="27"/>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8"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8"/>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E30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4ADB44D">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交付时间</w:t>
            </w:r>
          </w:p>
        </w:tc>
        <w:tc>
          <w:tcPr>
            <w:tcW w:w="6780" w:type="dxa"/>
            <w:vAlign w:val="center"/>
          </w:tcPr>
          <w:p w14:paraId="6AAFE2C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w:t>
      </w:r>
      <w:bookmarkStart w:id="54" w:name="_GoBack"/>
      <w:bookmarkEnd w:id="54"/>
      <w:r>
        <w:rPr>
          <w:rFonts w:hint="eastAsia" w:cs="宋体"/>
          <w:b w:val="0"/>
          <w:bCs/>
          <w:color w:val="auto"/>
          <w:sz w:val="21"/>
          <w:szCs w:val="21"/>
          <w:highlight w:val="none"/>
        </w:rPr>
        <w:t>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9" w:name="_Toc21266"/>
      <w:bookmarkStart w:id="30"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9"/>
      <w:bookmarkEnd w:id="30"/>
    </w:p>
    <w:p w14:paraId="70A88E1F">
      <w:pPr>
        <w:pStyle w:val="2"/>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1"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1"/>
    </w:p>
    <w:p w14:paraId="43A8C9EF">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2" w:name="_Toc23117"/>
      <w:bookmarkStart w:id="33"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2"/>
      <w:bookmarkEnd w:id="33"/>
      <w:r>
        <w:rPr>
          <w:rFonts w:hint="eastAsia"/>
          <w:color w:val="auto"/>
          <w:sz w:val="28"/>
          <w:highlight w:val="none"/>
          <w:lang w:val="en-US" w:eastAsia="zh-CN"/>
        </w:rPr>
        <w:t>服务方案</w:t>
      </w:r>
    </w:p>
    <w:p w14:paraId="433BF67C">
      <w:pPr>
        <w:pStyle w:val="2"/>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4" w:name="_Toc20496"/>
      <w:bookmarkStart w:id="35"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4"/>
      <w:bookmarkEnd w:id="35"/>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6" w:name="_Toc2922"/>
      <w:bookmarkStart w:id="37" w:name="_Toc4948"/>
      <w:bookmarkStart w:id="38" w:name="_Toc12801"/>
      <w:bookmarkStart w:id="39" w:name="_Toc29526"/>
      <w:bookmarkStart w:id="40" w:name="_Toc349642319"/>
      <w:bookmarkStart w:id="41" w:name="_Toc15867"/>
      <w:bookmarkStart w:id="42" w:name="_Toc320878714"/>
      <w:bookmarkStart w:id="43" w:name="_Toc28583"/>
      <w:bookmarkStart w:id="44" w:name="_Toc304219331"/>
      <w:bookmarkStart w:id="45" w:name="_Toc4599"/>
      <w:bookmarkStart w:id="46" w:name="_Toc337554798"/>
      <w:bookmarkStart w:id="47" w:name="_Toc10750"/>
      <w:bookmarkStart w:id="48" w:name="_Toc337475928"/>
      <w:bookmarkStart w:id="49" w:name="_Toc30765"/>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6"/>
      <w:bookmarkEnd w:id="37"/>
    </w:p>
    <w:p w14:paraId="2E2511E9">
      <w:pPr>
        <w:pStyle w:val="2"/>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2"/>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0" w:name="_Toc8810"/>
      <w:bookmarkStart w:id="51" w:name="_Toc7716"/>
      <w:r>
        <w:rPr>
          <w:rFonts w:hint="eastAsia"/>
          <w:sz w:val="28"/>
          <w:szCs w:val="28"/>
          <w:lang w:val="en-US" w:eastAsia="zh-CN"/>
        </w:rPr>
        <w:t>九、优惠承诺</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2" w:name="_Toc17593"/>
      <w:bookmarkStart w:id="53" w:name="_Toc11154"/>
      <w:r>
        <w:rPr>
          <w:rFonts w:hint="eastAsia"/>
          <w:sz w:val="28"/>
          <w:szCs w:val="28"/>
          <w:lang w:val="en-US" w:eastAsia="zh-CN"/>
        </w:rPr>
        <w:t>十、</w:t>
      </w:r>
      <w:bookmarkEnd w:id="52"/>
      <w:bookmarkEnd w:id="53"/>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AC4977"/>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2772BE"/>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943464"/>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3"/>
    <w:autoRedefine/>
    <w:qFormat/>
    <w:uiPriority w:val="9"/>
    <w:rPr>
      <w:b/>
      <w:bCs/>
      <w:kern w:val="44"/>
      <w:sz w:val="44"/>
      <w:szCs w:val="44"/>
    </w:rPr>
  </w:style>
  <w:style w:type="character" w:customStyle="1" w:styleId="46">
    <w:name w:val="标题 2 Char"/>
    <w:basedOn w:val="33"/>
    <w:link w:val="2"/>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3442</Words>
  <Characters>3809</Characters>
  <Lines>315</Lines>
  <Paragraphs>88</Paragraphs>
  <TotalTime>1</TotalTime>
  <ScaleCrop>false</ScaleCrop>
  <LinksUpToDate>false</LinksUpToDate>
  <CharactersWithSpaces>4121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2025-06-07T01:20:36Z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