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8ED5C4">
      <w:pPr>
        <w:widowControl/>
        <w:jc w:val="center"/>
        <w:rPr>
          <w:rFonts w:hint="eastAsia"/>
        </w:rPr>
      </w:pPr>
      <w:r>
        <w:rPr>
          <w:rFonts w:hint="eastAsia" w:ascii="宋体" w:hAnsi="宋体" w:eastAsia="宋体" w:cs="Times New Roman"/>
          <w:b/>
          <w:color w:val="auto"/>
          <w:sz w:val="32"/>
          <w:szCs w:val="32"/>
          <w:lang w:val="en-US" w:eastAsia="zh-CN"/>
        </w:rPr>
        <w:t>河南省胸科医院</w:t>
      </w:r>
      <w:r>
        <w:rPr>
          <w:rFonts w:hint="eastAsia" w:ascii="宋体" w:hAnsi="宋体" w:cs="Times New Roman"/>
          <w:b/>
          <w:color w:val="auto"/>
          <w:sz w:val="32"/>
          <w:szCs w:val="32"/>
          <w:lang w:val="en-US" w:eastAsia="zh-CN"/>
        </w:rPr>
        <w:t>不良事件智能报告系统运维</w:t>
      </w:r>
      <w:r>
        <w:rPr>
          <w:rFonts w:hint="eastAsia" w:ascii="宋体" w:hAnsi="宋体"/>
          <w:b/>
          <w:color w:val="auto"/>
          <w:sz w:val="32"/>
          <w:szCs w:val="32"/>
          <w:lang w:val="en-US" w:eastAsia="zh-CN"/>
        </w:rPr>
        <w:t>项目</w:t>
      </w:r>
      <w:r>
        <w:rPr>
          <w:rFonts w:hint="eastAsia" w:ascii="宋体" w:hAnsi="宋体"/>
          <w:b/>
          <w:color w:val="auto"/>
          <w:sz w:val="32"/>
          <w:szCs w:val="32"/>
          <w:lang w:eastAsia="zh-CN"/>
        </w:rPr>
        <w:t>采购</w:t>
      </w:r>
      <w:r>
        <w:rPr>
          <w:rFonts w:hint="eastAsia" w:ascii="宋体" w:hAnsi="宋体"/>
          <w:b/>
          <w:color w:val="auto"/>
          <w:sz w:val="32"/>
          <w:szCs w:val="32"/>
        </w:rPr>
        <w:t>需求</w:t>
      </w:r>
    </w:p>
    <w:p w14:paraId="432863DA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firstLine="420" w:firstLineChars="0"/>
        <w:textAlignment w:val="auto"/>
        <w:rPr>
          <w:rFonts w:hint="default"/>
          <w:lang w:val="en-US" w:eastAsia="zh-CN"/>
        </w:rPr>
      </w:pPr>
      <w:bookmarkStart w:id="0" w:name="_Toc155249524"/>
      <w:bookmarkStart w:id="1" w:name="_Toc169314184"/>
      <w:bookmarkStart w:id="2" w:name="_Toc476419059"/>
      <w:bookmarkStart w:id="3" w:name="_Toc155249520"/>
      <w:bookmarkStart w:id="4" w:name="_Toc29773"/>
      <w:bookmarkStart w:id="5" w:name="_Toc533344015"/>
      <w:bookmarkStart w:id="6" w:name="_Toc63697600"/>
      <w:bookmarkStart w:id="7" w:name="_Toc476420856"/>
      <w:r>
        <w:rPr>
          <w:rFonts w:hint="eastAsia" w:eastAsia="宋体" w:cs="Times New Roman" w:asciiTheme="minorEastAsia" w:hAnsiTheme="minorEastAsia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技术要求：</w:t>
      </w:r>
      <w:bookmarkStart w:id="8" w:name="_GoBack"/>
      <w:bookmarkEnd w:id="8"/>
    </w:p>
    <w:p w14:paraId="0EA18DB4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ind w:firstLine="482" w:firstLineChars="200"/>
        <w:textAlignment w:val="auto"/>
        <w:rPr>
          <w:rFonts w:hint="default" w:ascii="宋体" w:hAnsi="宋体"/>
          <w:b/>
          <w:sz w:val="24"/>
          <w:szCs w:val="20"/>
          <w:lang w:val="en-US" w:eastAsia="zh-CN"/>
        </w:rPr>
      </w:pPr>
      <w:r>
        <w:rPr>
          <w:rFonts w:hint="eastAsia" w:ascii="宋体" w:hAnsi="宋体"/>
          <w:b/>
          <w:sz w:val="24"/>
          <w:szCs w:val="20"/>
          <w:lang w:val="en-US" w:eastAsia="zh-CN"/>
        </w:rPr>
        <w:t>运维产品列表</w:t>
      </w:r>
    </w:p>
    <w:tbl>
      <w:tblPr>
        <w:tblStyle w:val="66"/>
        <w:tblW w:w="84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3"/>
        <w:gridCol w:w="1484"/>
        <w:gridCol w:w="5482"/>
      </w:tblGrid>
      <w:tr w14:paraId="27B823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15" w:hRule="atLeast"/>
        </w:trPr>
        <w:tc>
          <w:tcPr>
            <w:tcW w:w="1483" w:type="dxa"/>
            <w:shd w:val="clear" w:color="auto" w:fill="C7C8C6"/>
            <w:vAlign w:val="top"/>
          </w:tcPr>
          <w:p w14:paraId="694672FC">
            <w:pPr>
              <w:pStyle w:val="65"/>
              <w:spacing w:before="51" w:line="213" w:lineRule="auto"/>
              <w:ind w:left="118"/>
              <w:jc w:val="center"/>
            </w:pPr>
            <w:r>
              <w:rPr>
                <w:b/>
                <w:bCs/>
                <w:spacing w:val="-5"/>
              </w:rPr>
              <w:t>模块</w:t>
            </w:r>
          </w:p>
        </w:tc>
        <w:tc>
          <w:tcPr>
            <w:tcW w:w="1484" w:type="dxa"/>
            <w:shd w:val="clear" w:color="auto" w:fill="B8B8B5"/>
            <w:vAlign w:val="top"/>
          </w:tcPr>
          <w:p w14:paraId="74C24C3C">
            <w:pPr>
              <w:pStyle w:val="65"/>
              <w:spacing w:before="52" w:line="212" w:lineRule="auto"/>
              <w:ind w:left="105"/>
              <w:jc w:val="center"/>
            </w:pPr>
            <w:r>
              <w:rPr>
                <w:b/>
                <w:bCs/>
                <w:spacing w:val="2"/>
              </w:rPr>
              <w:t>功能点</w:t>
            </w:r>
          </w:p>
        </w:tc>
        <w:tc>
          <w:tcPr>
            <w:tcW w:w="5482" w:type="dxa"/>
            <w:shd w:val="clear" w:color="auto" w:fill="C0C0BC"/>
            <w:vAlign w:val="top"/>
          </w:tcPr>
          <w:p w14:paraId="396841DD">
            <w:pPr>
              <w:pStyle w:val="65"/>
              <w:spacing w:before="52" w:line="212" w:lineRule="auto"/>
              <w:ind w:left="118"/>
              <w:jc w:val="center"/>
            </w:pPr>
            <w:r>
              <w:rPr>
                <w:b/>
                <w:bCs/>
                <w:spacing w:val="-5"/>
              </w:rPr>
              <w:t>功能描述</w:t>
            </w:r>
          </w:p>
        </w:tc>
      </w:tr>
      <w:tr w14:paraId="430B38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49" w:hRule="atLeast"/>
        </w:trPr>
        <w:tc>
          <w:tcPr>
            <w:tcW w:w="1483" w:type="dxa"/>
            <w:vMerge w:val="restart"/>
            <w:vAlign w:val="center"/>
          </w:tcPr>
          <w:p w14:paraId="732B3000"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 w14:paraId="693282AB"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 w14:paraId="43A8590F"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 w14:paraId="7191460E"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 w14:paraId="7016EAD5"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 w14:paraId="0C619D33"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 w14:paraId="564E0ED3"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 w14:paraId="1093B857"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 w14:paraId="21B30CC0"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 w14:paraId="59D506B8"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 w14:paraId="73CE905E"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 w14:paraId="3D7B4919">
            <w:pPr>
              <w:spacing w:line="243" w:lineRule="auto"/>
              <w:jc w:val="center"/>
              <w:rPr>
                <w:rFonts w:ascii="Arial"/>
                <w:sz w:val="21"/>
              </w:rPr>
            </w:pPr>
          </w:p>
          <w:p w14:paraId="3F6537D1">
            <w:pPr>
              <w:spacing w:line="243" w:lineRule="auto"/>
              <w:jc w:val="center"/>
              <w:rPr>
                <w:rFonts w:ascii="Arial"/>
                <w:sz w:val="21"/>
              </w:rPr>
            </w:pPr>
          </w:p>
          <w:p w14:paraId="328EC4BA">
            <w:pPr>
              <w:spacing w:line="243" w:lineRule="auto"/>
              <w:jc w:val="center"/>
              <w:rPr>
                <w:rFonts w:ascii="Arial"/>
                <w:sz w:val="21"/>
              </w:rPr>
            </w:pPr>
          </w:p>
          <w:p w14:paraId="074A1941">
            <w:pPr>
              <w:spacing w:line="243" w:lineRule="auto"/>
              <w:jc w:val="center"/>
              <w:rPr>
                <w:rFonts w:ascii="Arial"/>
                <w:sz w:val="21"/>
              </w:rPr>
            </w:pPr>
          </w:p>
          <w:p w14:paraId="6CE0CE9F">
            <w:pPr>
              <w:spacing w:line="243" w:lineRule="auto"/>
              <w:jc w:val="center"/>
              <w:rPr>
                <w:rFonts w:ascii="Arial"/>
                <w:sz w:val="21"/>
              </w:rPr>
            </w:pPr>
          </w:p>
          <w:p w14:paraId="17E7D22A">
            <w:pPr>
              <w:spacing w:line="243" w:lineRule="auto"/>
              <w:jc w:val="center"/>
              <w:rPr>
                <w:rFonts w:ascii="Arial"/>
                <w:sz w:val="21"/>
              </w:rPr>
            </w:pPr>
          </w:p>
          <w:p w14:paraId="700A82AB">
            <w:pPr>
              <w:spacing w:line="243" w:lineRule="auto"/>
              <w:jc w:val="center"/>
              <w:rPr>
                <w:rFonts w:ascii="Arial"/>
                <w:sz w:val="21"/>
              </w:rPr>
            </w:pPr>
          </w:p>
          <w:p w14:paraId="4A41A67E">
            <w:pPr>
              <w:spacing w:line="243" w:lineRule="auto"/>
              <w:jc w:val="center"/>
              <w:rPr>
                <w:rFonts w:ascii="Arial"/>
                <w:sz w:val="21"/>
              </w:rPr>
            </w:pPr>
          </w:p>
          <w:p w14:paraId="7921C7F4">
            <w:pPr>
              <w:spacing w:line="243" w:lineRule="auto"/>
              <w:jc w:val="center"/>
              <w:rPr>
                <w:rFonts w:ascii="Arial"/>
                <w:sz w:val="21"/>
              </w:rPr>
            </w:pPr>
          </w:p>
          <w:p w14:paraId="2B86BB5A">
            <w:pPr>
              <w:spacing w:line="243" w:lineRule="auto"/>
              <w:jc w:val="center"/>
              <w:rPr>
                <w:rFonts w:ascii="Arial"/>
                <w:sz w:val="21"/>
              </w:rPr>
            </w:pPr>
          </w:p>
          <w:p w14:paraId="18842DF7">
            <w:pPr>
              <w:spacing w:line="243" w:lineRule="auto"/>
              <w:jc w:val="center"/>
              <w:rPr>
                <w:rFonts w:ascii="Arial"/>
                <w:sz w:val="21"/>
              </w:rPr>
            </w:pPr>
          </w:p>
          <w:p w14:paraId="004BFE3C">
            <w:pPr>
              <w:spacing w:line="243" w:lineRule="auto"/>
              <w:jc w:val="center"/>
              <w:rPr>
                <w:rFonts w:ascii="Arial"/>
                <w:sz w:val="21"/>
              </w:rPr>
            </w:pPr>
          </w:p>
          <w:p w14:paraId="1544783C">
            <w:pPr>
              <w:spacing w:line="243" w:lineRule="auto"/>
              <w:jc w:val="center"/>
              <w:rPr>
                <w:rFonts w:ascii="Arial"/>
                <w:sz w:val="21"/>
              </w:rPr>
            </w:pPr>
          </w:p>
          <w:p w14:paraId="0F53A13B">
            <w:pPr>
              <w:pStyle w:val="65"/>
              <w:spacing w:before="72" w:line="219" w:lineRule="auto"/>
              <w:ind w:left="114"/>
              <w:jc w:val="center"/>
            </w:pPr>
            <w:r>
              <w:rPr>
                <w:spacing w:val="-2"/>
              </w:rPr>
              <w:t>事件上报</w:t>
            </w:r>
          </w:p>
        </w:tc>
        <w:tc>
          <w:tcPr>
            <w:tcW w:w="1484" w:type="dxa"/>
            <w:vMerge w:val="restart"/>
            <w:tcBorders>
              <w:bottom w:val="nil"/>
            </w:tcBorders>
            <w:vAlign w:val="center"/>
          </w:tcPr>
          <w:p w14:paraId="0073EB14">
            <w:pPr>
              <w:spacing w:line="248" w:lineRule="auto"/>
              <w:jc w:val="center"/>
              <w:rPr>
                <w:rFonts w:ascii="Arial"/>
                <w:sz w:val="21"/>
              </w:rPr>
            </w:pPr>
          </w:p>
          <w:p w14:paraId="1012E0F6">
            <w:pPr>
              <w:spacing w:line="248" w:lineRule="auto"/>
              <w:jc w:val="center"/>
              <w:rPr>
                <w:rFonts w:ascii="Arial"/>
                <w:sz w:val="21"/>
              </w:rPr>
            </w:pPr>
          </w:p>
          <w:p w14:paraId="599CECEC">
            <w:pPr>
              <w:spacing w:line="248" w:lineRule="auto"/>
              <w:jc w:val="center"/>
              <w:rPr>
                <w:rFonts w:ascii="Arial"/>
                <w:sz w:val="21"/>
              </w:rPr>
            </w:pPr>
          </w:p>
          <w:p w14:paraId="111A573E">
            <w:pPr>
              <w:spacing w:line="248" w:lineRule="auto"/>
              <w:jc w:val="center"/>
              <w:rPr>
                <w:rFonts w:ascii="Arial"/>
                <w:sz w:val="21"/>
              </w:rPr>
            </w:pPr>
          </w:p>
          <w:p w14:paraId="523363F9">
            <w:pPr>
              <w:spacing w:line="248" w:lineRule="auto"/>
              <w:jc w:val="center"/>
              <w:rPr>
                <w:rFonts w:ascii="Arial"/>
                <w:sz w:val="21"/>
              </w:rPr>
            </w:pPr>
          </w:p>
          <w:p w14:paraId="38A0799F">
            <w:pPr>
              <w:spacing w:line="248" w:lineRule="auto"/>
              <w:jc w:val="center"/>
              <w:rPr>
                <w:rFonts w:ascii="Arial"/>
                <w:sz w:val="21"/>
              </w:rPr>
            </w:pPr>
          </w:p>
          <w:p w14:paraId="70097FD7">
            <w:pPr>
              <w:spacing w:line="248" w:lineRule="auto"/>
              <w:jc w:val="center"/>
              <w:rPr>
                <w:rFonts w:ascii="Arial"/>
                <w:sz w:val="21"/>
              </w:rPr>
            </w:pPr>
          </w:p>
          <w:p w14:paraId="2979C9B3">
            <w:pPr>
              <w:pStyle w:val="65"/>
              <w:spacing w:before="72" w:line="219" w:lineRule="auto"/>
              <w:ind w:left="101"/>
              <w:jc w:val="center"/>
            </w:pPr>
            <w:r>
              <w:rPr>
                <w:spacing w:val="6"/>
              </w:rPr>
              <w:t>护理事件</w:t>
            </w:r>
          </w:p>
        </w:tc>
        <w:tc>
          <w:tcPr>
            <w:tcW w:w="5482" w:type="dxa"/>
            <w:vAlign w:val="top"/>
          </w:tcPr>
          <w:p w14:paraId="1D50D5E2">
            <w:pPr>
              <w:pStyle w:val="65"/>
              <w:spacing w:before="69" w:line="219" w:lineRule="auto"/>
              <w:ind w:left="10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跌倒坠床</w:t>
            </w:r>
          </w:p>
        </w:tc>
      </w:tr>
      <w:tr w14:paraId="072F2E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10" w:hRule="atLeast"/>
        </w:trPr>
        <w:tc>
          <w:tcPr>
            <w:tcW w:w="1483" w:type="dxa"/>
            <w:vMerge w:val="continue"/>
            <w:tcBorders/>
            <w:vAlign w:val="center"/>
          </w:tcPr>
          <w:p w14:paraId="06BB137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84" w:type="dxa"/>
            <w:vMerge w:val="continue"/>
            <w:tcBorders>
              <w:top w:val="nil"/>
              <w:bottom w:val="nil"/>
            </w:tcBorders>
            <w:vAlign w:val="center"/>
          </w:tcPr>
          <w:p w14:paraId="362385A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5482" w:type="dxa"/>
            <w:vAlign w:val="top"/>
          </w:tcPr>
          <w:p w14:paraId="0E8A1EE9">
            <w:pPr>
              <w:pStyle w:val="65"/>
              <w:spacing w:before="50" w:line="209" w:lineRule="auto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难免性压疮</w:t>
            </w:r>
          </w:p>
        </w:tc>
      </w:tr>
      <w:tr w14:paraId="19CD43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20" w:hRule="atLeast"/>
        </w:trPr>
        <w:tc>
          <w:tcPr>
            <w:tcW w:w="1483" w:type="dxa"/>
            <w:vMerge w:val="continue"/>
            <w:tcBorders/>
            <w:vAlign w:val="center"/>
          </w:tcPr>
          <w:p w14:paraId="7B18D68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84" w:type="dxa"/>
            <w:vMerge w:val="continue"/>
            <w:tcBorders>
              <w:top w:val="nil"/>
              <w:bottom w:val="nil"/>
            </w:tcBorders>
            <w:vAlign w:val="center"/>
          </w:tcPr>
          <w:p w14:paraId="3B8EF31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5482" w:type="dxa"/>
            <w:vAlign w:val="top"/>
          </w:tcPr>
          <w:p w14:paraId="5BABE170">
            <w:pPr>
              <w:pStyle w:val="65"/>
              <w:spacing w:before="50" w:line="218" w:lineRule="auto"/>
              <w:ind w:left="9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院内压疮</w:t>
            </w:r>
          </w:p>
        </w:tc>
      </w:tr>
      <w:tr w14:paraId="5AAF99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10" w:hRule="atLeast"/>
        </w:trPr>
        <w:tc>
          <w:tcPr>
            <w:tcW w:w="1483" w:type="dxa"/>
            <w:vMerge w:val="continue"/>
            <w:tcBorders/>
            <w:vAlign w:val="center"/>
          </w:tcPr>
          <w:p w14:paraId="2BF28DA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84" w:type="dxa"/>
            <w:vMerge w:val="continue"/>
            <w:tcBorders>
              <w:top w:val="nil"/>
              <w:bottom w:val="nil"/>
            </w:tcBorders>
            <w:vAlign w:val="center"/>
          </w:tcPr>
          <w:p w14:paraId="1B12094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5482" w:type="dxa"/>
            <w:vAlign w:val="top"/>
          </w:tcPr>
          <w:p w14:paraId="50B11F66">
            <w:pPr>
              <w:pStyle w:val="65"/>
              <w:spacing w:before="50" w:line="209" w:lineRule="auto"/>
              <w:ind w:left="9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院外压疮</w:t>
            </w:r>
          </w:p>
        </w:tc>
      </w:tr>
      <w:tr w14:paraId="234658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20" w:hRule="atLeast"/>
        </w:trPr>
        <w:tc>
          <w:tcPr>
            <w:tcW w:w="1483" w:type="dxa"/>
            <w:vMerge w:val="continue"/>
            <w:tcBorders/>
            <w:vAlign w:val="center"/>
          </w:tcPr>
          <w:p w14:paraId="751A211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84" w:type="dxa"/>
            <w:vMerge w:val="continue"/>
            <w:tcBorders>
              <w:top w:val="nil"/>
              <w:bottom w:val="nil"/>
            </w:tcBorders>
            <w:vAlign w:val="center"/>
          </w:tcPr>
          <w:p w14:paraId="560ED3C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5482" w:type="dxa"/>
            <w:vAlign w:val="top"/>
          </w:tcPr>
          <w:p w14:paraId="7257E18F">
            <w:pPr>
              <w:pStyle w:val="65"/>
              <w:spacing w:before="50" w:line="218" w:lineRule="auto"/>
              <w:ind w:left="84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给药缺陷</w:t>
            </w:r>
          </w:p>
        </w:tc>
      </w:tr>
      <w:tr w14:paraId="47F1EF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10" w:hRule="atLeast"/>
        </w:trPr>
        <w:tc>
          <w:tcPr>
            <w:tcW w:w="1483" w:type="dxa"/>
            <w:vMerge w:val="continue"/>
            <w:tcBorders/>
            <w:vAlign w:val="center"/>
          </w:tcPr>
          <w:p w14:paraId="55A4DF8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84" w:type="dxa"/>
            <w:vMerge w:val="continue"/>
            <w:tcBorders>
              <w:top w:val="nil"/>
              <w:bottom w:val="nil"/>
            </w:tcBorders>
            <w:vAlign w:val="center"/>
          </w:tcPr>
          <w:p w14:paraId="7D44415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5482" w:type="dxa"/>
            <w:vAlign w:val="top"/>
          </w:tcPr>
          <w:p w14:paraId="2AE579EB">
            <w:pPr>
              <w:pStyle w:val="65"/>
              <w:spacing w:before="49" w:line="210" w:lineRule="auto"/>
              <w:ind w:left="8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管路滑脱</w:t>
            </w:r>
          </w:p>
        </w:tc>
      </w:tr>
      <w:tr w14:paraId="55D15F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878" w:hRule="atLeast"/>
        </w:trPr>
        <w:tc>
          <w:tcPr>
            <w:tcW w:w="1483" w:type="dxa"/>
            <w:vMerge w:val="continue"/>
            <w:tcBorders/>
            <w:vAlign w:val="center"/>
          </w:tcPr>
          <w:p w14:paraId="1A600DB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84" w:type="dxa"/>
            <w:vMerge w:val="continue"/>
            <w:tcBorders>
              <w:top w:val="nil"/>
            </w:tcBorders>
            <w:vAlign w:val="center"/>
          </w:tcPr>
          <w:p w14:paraId="188263C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5482" w:type="dxa"/>
            <w:vAlign w:val="top"/>
          </w:tcPr>
          <w:p w14:paraId="29DA2330">
            <w:pPr>
              <w:pStyle w:val="65"/>
              <w:spacing w:before="51" w:line="254" w:lineRule="auto"/>
              <w:ind w:left="84" w:firstLine="29"/>
              <w:jc w:val="both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spacing w:val="-11"/>
                <w:sz w:val="22"/>
                <w:szCs w:val="22"/>
              </w:rPr>
              <w:t>其他不良事件：导管事件、跌倒/坠床事件、烧烫伤事</w:t>
            </w:r>
            <w:r>
              <w:rPr>
                <w:spacing w:val="-1"/>
                <w:sz w:val="22"/>
                <w:szCs w:val="22"/>
              </w:rPr>
              <w:t>件、给药错误(护士)、未按医嘱执行禁食禁水</w:t>
            </w:r>
            <w:r>
              <w:rPr>
                <w:spacing w:val="-2"/>
                <w:sz w:val="22"/>
                <w:szCs w:val="22"/>
              </w:rPr>
              <w:t>事件、</w:t>
            </w:r>
            <w:r>
              <w:rPr>
                <w:spacing w:val="-15"/>
                <w:sz w:val="22"/>
                <w:szCs w:val="22"/>
              </w:rPr>
              <w:t>误吸/误咽事件、营养与饮食事件、执行消毒隔离事件、</w:t>
            </w:r>
            <w:r>
              <w:rPr>
                <w:spacing w:val="-6"/>
                <w:sz w:val="22"/>
                <w:szCs w:val="22"/>
              </w:rPr>
              <w:t>压疮事件、窒息事件、约束事件、静脉炎事件、输液</w:t>
            </w:r>
            <w:r>
              <w:rPr>
                <w:spacing w:val="-10"/>
                <w:sz w:val="22"/>
                <w:szCs w:val="22"/>
              </w:rPr>
              <w:t>药物渗漏事件、患者自杀自伤事件、患者冲动伤人/损</w:t>
            </w:r>
            <w:r>
              <w:rPr>
                <w:spacing w:val="-4"/>
                <w:sz w:val="22"/>
                <w:szCs w:val="22"/>
              </w:rPr>
              <w:t>物事件、患者走失事件</w:t>
            </w:r>
            <w:r>
              <w:rPr>
                <w:rFonts w:hint="eastAsia"/>
                <w:spacing w:val="-4"/>
                <w:sz w:val="22"/>
                <w:szCs w:val="22"/>
                <w:lang w:eastAsia="zh-CN"/>
              </w:rPr>
              <w:t>。</w:t>
            </w:r>
          </w:p>
        </w:tc>
      </w:tr>
      <w:tr w14:paraId="5BCDD5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878" w:hRule="atLeast"/>
        </w:trPr>
        <w:tc>
          <w:tcPr>
            <w:tcW w:w="1483" w:type="dxa"/>
            <w:vMerge w:val="continue"/>
            <w:tcBorders/>
            <w:vAlign w:val="center"/>
          </w:tcPr>
          <w:p w14:paraId="47BA343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84" w:type="dxa"/>
            <w:vAlign w:val="center"/>
          </w:tcPr>
          <w:p w14:paraId="02DC526E"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 w14:paraId="1F923A7B">
            <w:pPr>
              <w:spacing w:line="252" w:lineRule="auto"/>
              <w:jc w:val="center"/>
              <w:rPr>
                <w:rFonts w:ascii="Arial"/>
                <w:sz w:val="21"/>
              </w:rPr>
            </w:pPr>
          </w:p>
          <w:p w14:paraId="79874B94">
            <w:pPr>
              <w:spacing w:line="252" w:lineRule="auto"/>
              <w:jc w:val="center"/>
              <w:rPr>
                <w:rFonts w:ascii="Arial"/>
                <w:sz w:val="21"/>
              </w:rPr>
            </w:pPr>
          </w:p>
          <w:p w14:paraId="6627C61E">
            <w:pPr>
              <w:pStyle w:val="65"/>
              <w:spacing w:before="72" w:line="219" w:lineRule="auto"/>
              <w:ind w:left="101"/>
              <w:jc w:val="center"/>
            </w:pPr>
            <w:r>
              <w:rPr>
                <w:spacing w:val="6"/>
              </w:rPr>
              <w:t>医疗事件</w:t>
            </w:r>
          </w:p>
        </w:tc>
        <w:tc>
          <w:tcPr>
            <w:tcW w:w="5482" w:type="dxa"/>
            <w:vAlign w:val="top"/>
          </w:tcPr>
          <w:p w14:paraId="1EBF853D">
            <w:pPr>
              <w:pStyle w:val="65"/>
              <w:spacing w:before="59" w:line="253" w:lineRule="auto"/>
              <w:ind w:left="94" w:firstLine="12"/>
              <w:jc w:val="both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b w:val="0"/>
                <w:bCs w:val="0"/>
                <w:spacing w:val="-7"/>
                <w:sz w:val="22"/>
                <w:szCs w:val="22"/>
              </w:rPr>
              <w:t>医疗事件：</w:t>
            </w:r>
            <w:r>
              <w:rPr>
                <w:spacing w:val="-7"/>
                <w:sz w:val="22"/>
                <w:szCs w:val="22"/>
              </w:rPr>
              <w:t>包含医疗信息传递错误事件、治疗错误事</w:t>
            </w:r>
            <w:r>
              <w:rPr>
                <w:spacing w:val="-10"/>
                <w:sz w:val="22"/>
                <w:szCs w:val="22"/>
              </w:rPr>
              <w:t>件、方法/技术错误事件、药物医嘱/使用错误(医生)、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检查事件、麻醉事件、诊疗记录事件、知情同意事件、</w:t>
            </w:r>
            <w:r>
              <w:rPr>
                <w:spacing w:val="-2"/>
                <w:sz w:val="22"/>
                <w:szCs w:val="22"/>
              </w:rPr>
              <w:t>非预期事件、手术事件、医疗投诉事件、产伤事件、</w:t>
            </w:r>
            <w:r>
              <w:rPr>
                <w:spacing w:val="-6"/>
                <w:sz w:val="22"/>
                <w:szCs w:val="22"/>
              </w:rPr>
              <w:t>呼吸机事件、择期手术后并发症事件、医源性气胸事</w:t>
            </w:r>
            <w:r>
              <w:rPr>
                <w:spacing w:val="-5"/>
                <w:sz w:val="22"/>
                <w:szCs w:val="22"/>
              </w:rPr>
              <w:t>件、医源性意外穿刺或撕裂伤事件等</w:t>
            </w:r>
            <w:r>
              <w:rPr>
                <w:rFonts w:hint="eastAsia"/>
                <w:spacing w:val="-5"/>
                <w:sz w:val="22"/>
                <w:szCs w:val="22"/>
                <w:lang w:eastAsia="zh-CN"/>
              </w:rPr>
              <w:t>。</w:t>
            </w:r>
          </w:p>
        </w:tc>
      </w:tr>
      <w:tr w14:paraId="3DF85F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579" w:hRule="atLeast"/>
        </w:trPr>
        <w:tc>
          <w:tcPr>
            <w:tcW w:w="1483" w:type="dxa"/>
            <w:vMerge w:val="continue"/>
            <w:tcBorders/>
            <w:vAlign w:val="center"/>
          </w:tcPr>
          <w:p w14:paraId="10DD544A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84" w:type="dxa"/>
            <w:vAlign w:val="center"/>
          </w:tcPr>
          <w:p w14:paraId="30037A26">
            <w:pPr>
              <w:spacing w:line="304" w:lineRule="auto"/>
              <w:jc w:val="center"/>
              <w:rPr>
                <w:rFonts w:ascii="Arial"/>
                <w:sz w:val="21"/>
              </w:rPr>
            </w:pPr>
          </w:p>
          <w:p w14:paraId="6536C820">
            <w:pPr>
              <w:spacing w:line="304" w:lineRule="auto"/>
              <w:jc w:val="center"/>
              <w:rPr>
                <w:rFonts w:ascii="Arial"/>
                <w:sz w:val="21"/>
              </w:rPr>
            </w:pPr>
          </w:p>
          <w:p w14:paraId="3426A211">
            <w:pPr>
              <w:pStyle w:val="65"/>
              <w:spacing w:before="72" w:line="219" w:lineRule="auto"/>
              <w:ind w:left="101"/>
              <w:jc w:val="center"/>
            </w:pPr>
            <w:r>
              <w:rPr>
                <w:spacing w:val="6"/>
              </w:rPr>
              <w:t>药品事件</w:t>
            </w:r>
          </w:p>
        </w:tc>
        <w:tc>
          <w:tcPr>
            <w:tcW w:w="5482" w:type="dxa"/>
            <w:vAlign w:val="top"/>
          </w:tcPr>
          <w:p w14:paraId="615EE238">
            <w:pPr>
              <w:pStyle w:val="65"/>
              <w:spacing w:before="61" w:line="253" w:lineRule="auto"/>
              <w:ind w:left="114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spacing w:val="-7"/>
                <w:sz w:val="22"/>
                <w:szCs w:val="22"/>
              </w:rPr>
              <w:t>药品不良反应/事件：药品不良反应，药物堵差、药物</w:t>
            </w:r>
            <w:r>
              <w:rPr>
                <w:sz w:val="22"/>
                <w:szCs w:val="22"/>
              </w:rPr>
              <w:t>医嘱开立错误(医生)、药物调剂错误(药剂师)、传</w:t>
            </w:r>
            <w:r>
              <w:rPr>
                <w:spacing w:val="-1"/>
                <w:sz w:val="22"/>
                <w:szCs w:val="22"/>
              </w:rPr>
              <w:t>送过程错误(运送)、信息流转/统计错误(电脑)、</w:t>
            </w:r>
            <w:r>
              <w:rPr>
                <w:rFonts w:hint="eastAsia"/>
                <w:spacing w:val="-1"/>
                <w:sz w:val="22"/>
                <w:szCs w:val="22"/>
                <w:lang w:eastAsia="zh-CN"/>
              </w:rPr>
              <w:t>药</w:t>
            </w:r>
            <w:r>
              <w:rPr>
                <w:spacing w:val="-3"/>
                <w:sz w:val="22"/>
                <w:szCs w:val="22"/>
              </w:rPr>
              <w:t>品召回事件、贵重药品丢失及损毁事件、药品监测事</w:t>
            </w:r>
            <w:r>
              <w:rPr>
                <w:spacing w:val="-2"/>
                <w:sz w:val="22"/>
                <w:szCs w:val="22"/>
              </w:rPr>
              <w:t>件、输液不良反应</w:t>
            </w:r>
            <w:r>
              <w:rPr>
                <w:rFonts w:hint="eastAsia"/>
                <w:spacing w:val="-2"/>
                <w:sz w:val="22"/>
                <w:szCs w:val="22"/>
                <w:lang w:eastAsia="zh-CN"/>
              </w:rPr>
              <w:t>。</w:t>
            </w:r>
          </w:p>
        </w:tc>
      </w:tr>
      <w:tr w14:paraId="33D94A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09" w:hRule="atLeast"/>
        </w:trPr>
        <w:tc>
          <w:tcPr>
            <w:tcW w:w="1483" w:type="dxa"/>
            <w:vMerge w:val="continue"/>
            <w:tcBorders/>
            <w:vAlign w:val="center"/>
          </w:tcPr>
          <w:p w14:paraId="5DB4866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84" w:type="dxa"/>
            <w:vAlign w:val="center"/>
          </w:tcPr>
          <w:p w14:paraId="753E34F8">
            <w:pPr>
              <w:pStyle w:val="65"/>
              <w:spacing w:before="205" w:line="219" w:lineRule="auto"/>
              <w:ind w:left="101"/>
              <w:jc w:val="center"/>
            </w:pPr>
            <w:r>
              <w:rPr>
                <w:spacing w:val="6"/>
              </w:rPr>
              <w:t>输血事件</w:t>
            </w:r>
          </w:p>
        </w:tc>
        <w:tc>
          <w:tcPr>
            <w:tcW w:w="5482" w:type="dxa"/>
            <w:vAlign w:val="top"/>
          </w:tcPr>
          <w:p w14:paraId="49462C97">
            <w:pPr>
              <w:pStyle w:val="65"/>
              <w:spacing w:before="55" w:line="228" w:lineRule="auto"/>
              <w:ind w:left="94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spacing w:val="-2"/>
                <w:sz w:val="22"/>
                <w:szCs w:val="22"/>
              </w:rPr>
              <w:t>在输血过程中因操作或记录及严重输血不良反应等事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件</w:t>
            </w:r>
            <w:r>
              <w:rPr>
                <w:rFonts w:hint="eastAsia"/>
                <w:sz w:val="22"/>
                <w:szCs w:val="22"/>
                <w:lang w:eastAsia="zh-CN"/>
              </w:rPr>
              <w:t>。</w:t>
            </w:r>
          </w:p>
        </w:tc>
      </w:tr>
      <w:tr w14:paraId="3FFE71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10" w:hRule="atLeast"/>
        </w:trPr>
        <w:tc>
          <w:tcPr>
            <w:tcW w:w="1483" w:type="dxa"/>
            <w:vMerge w:val="continue"/>
            <w:tcBorders/>
            <w:vAlign w:val="center"/>
          </w:tcPr>
          <w:p w14:paraId="0202BED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84" w:type="dxa"/>
            <w:vAlign w:val="center"/>
          </w:tcPr>
          <w:p w14:paraId="5F245666">
            <w:pPr>
              <w:pStyle w:val="65"/>
              <w:spacing w:before="55" w:line="205" w:lineRule="auto"/>
              <w:ind w:left="101"/>
              <w:jc w:val="center"/>
            </w:pPr>
            <w:r>
              <w:rPr>
                <w:spacing w:val="6"/>
              </w:rPr>
              <w:t>医疗器械</w:t>
            </w:r>
          </w:p>
        </w:tc>
        <w:tc>
          <w:tcPr>
            <w:tcW w:w="5482" w:type="dxa"/>
            <w:vAlign w:val="top"/>
          </w:tcPr>
          <w:p w14:paraId="734CFB4A">
            <w:pPr>
              <w:pStyle w:val="65"/>
              <w:spacing w:before="55" w:line="205" w:lineRule="auto"/>
              <w:ind w:left="105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医疗器械不良反应、医疗仪器设备的召回等</w:t>
            </w:r>
            <w:r>
              <w:rPr>
                <w:rFonts w:hint="eastAsia"/>
                <w:sz w:val="22"/>
                <w:szCs w:val="22"/>
                <w:lang w:eastAsia="zh-CN"/>
              </w:rPr>
              <w:t>。</w:t>
            </w:r>
          </w:p>
        </w:tc>
      </w:tr>
      <w:tr w14:paraId="45E407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39" w:hRule="atLeast"/>
        </w:trPr>
        <w:tc>
          <w:tcPr>
            <w:tcW w:w="1483" w:type="dxa"/>
            <w:vMerge w:val="continue"/>
            <w:tcBorders/>
            <w:vAlign w:val="center"/>
          </w:tcPr>
          <w:p w14:paraId="5981A56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84" w:type="dxa"/>
            <w:vAlign w:val="center"/>
          </w:tcPr>
          <w:p w14:paraId="15304A54">
            <w:pPr>
              <w:spacing w:line="292" w:lineRule="auto"/>
              <w:jc w:val="center"/>
              <w:rPr>
                <w:rFonts w:ascii="Arial"/>
                <w:sz w:val="21"/>
              </w:rPr>
            </w:pPr>
          </w:p>
          <w:p w14:paraId="4CFB80F2">
            <w:pPr>
              <w:pStyle w:val="65"/>
              <w:spacing w:before="72" w:line="219" w:lineRule="auto"/>
              <w:ind w:left="101"/>
              <w:jc w:val="center"/>
            </w:pPr>
            <w:r>
              <w:rPr>
                <w:spacing w:val="6"/>
              </w:rPr>
              <w:t>院感事件</w:t>
            </w:r>
          </w:p>
        </w:tc>
        <w:tc>
          <w:tcPr>
            <w:tcW w:w="5482" w:type="dxa"/>
            <w:vAlign w:val="top"/>
          </w:tcPr>
          <w:p w14:paraId="62C44D5B">
            <w:pPr>
              <w:pStyle w:val="65"/>
              <w:spacing w:before="56" w:line="244" w:lineRule="auto"/>
              <w:ind w:left="94"/>
              <w:jc w:val="both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spacing w:val="-2"/>
                <w:sz w:val="22"/>
                <w:szCs w:val="22"/>
              </w:rPr>
              <w:t>院感疑似暴发/暴发事件、血液滤过/血液置换感染事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件、环境卫生学检测事件、手卫生依从性、医疗废物</w:t>
            </w:r>
            <w:r>
              <w:rPr>
                <w:sz w:val="22"/>
                <w:szCs w:val="22"/>
              </w:rPr>
              <w:t>事件</w:t>
            </w:r>
            <w:r>
              <w:rPr>
                <w:rFonts w:hint="eastAsia"/>
                <w:sz w:val="22"/>
                <w:szCs w:val="22"/>
                <w:lang w:eastAsia="zh-CN"/>
              </w:rPr>
              <w:t>。</w:t>
            </w:r>
          </w:p>
        </w:tc>
      </w:tr>
      <w:tr w14:paraId="4CF136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39" w:hRule="atLeast"/>
        </w:trPr>
        <w:tc>
          <w:tcPr>
            <w:tcW w:w="1483" w:type="dxa"/>
            <w:vMerge w:val="continue"/>
            <w:tcBorders/>
            <w:vAlign w:val="center"/>
          </w:tcPr>
          <w:p w14:paraId="60AFDF0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84" w:type="dxa"/>
            <w:vAlign w:val="center"/>
          </w:tcPr>
          <w:p w14:paraId="19AC1685">
            <w:pPr>
              <w:pStyle w:val="65"/>
              <w:spacing w:before="217" w:line="219" w:lineRule="auto"/>
              <w:ind w:left="101"/>
              <w:jc w:val="center"/>
            </w:pPr>
            <w:r>
              <w:rPr>
                <w:spacing w:val="6"/>
              </w:rPr>
              <w:t>公共设施</w:t>
            </w:r>
          </w:p>
        </w:tc>
        <w:tc>
          <w:tcPr>
            <w:tcW w:w="5482" w:type="dxa"/>
            <w:vAlign w:val="top"/>
          </w:tcPr>
          <w:p w14:paraId="05A488A7">
            <w:pPr>
              <w:pStyle w:val="65"/>
              <w:spacing w:before="56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spacing w:val="-2"/>
                <w:sz w:val="22"/>
                <w:szCs w:val="22"/>
              </w:rPr>
              <w:t>公共设施事件、设备设施使用事件、环境事件、物品</w:t>
            </w:r>
            <w:r>
              <w:rPr>
                <w:spacing w:val="-3"/>
                <w:sz w:val="22"/>
                <w:szCs w:val="22"/>
              </w:rPr>
              <w:t>运送事件</w:t>
            </w:r>
            <w:r>
              <w:rPr>
                <w:rFonts w:hint="eastAsia"/>
                <w:spacing w:val="-3"/>
                <w:sz w:val="22"/>
                <w:szCs w:val="22"/>
                <w:lang w:eastAsia="zh-CN"/>
              </w:rPr>
              <w:t>。</w:t>
            </w:r>
          </w:p>
        </w:tc>
      </w:tr>
      <w:tr w14:paraId="1E5AD5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09" w:hRule="atLeast"/>
        </w:trPr>
        <w:tc>
          <w:tcPr>
            <w:tcW w:w="1483" w:type="dxa"/>
            <w:vMerge w:val="continue"/>
            <w:tcBorders/>
            <w:vAlign w:val="center"/>
          </w:tcPr>
          <w:p w14:paraId="51FB1BF2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84" w:type="dxa"/>
            <w:vAlign w:val="center"/>
          </w:tcPr>
          <w:p w14:paraId="20A5AC9C">
            <w:pPr>
              <w:pStyle w:val="65"/>
              <w:spacing w:before="208" w:line="220" w:lineRule="auto"/>
              <w:ind w:left="101"/>
              <w:jc w:val="center"/>
            </w:pPr>
            <w:r>
              <w:rPr>
                <w:spacing w:val="6"/>
              </w:rPr>
              <w:t>治安消防</w:t>
            </w:r>
          </w:p>
        </w:tc>
        <w:tc>
          <w:tcPr>
            <w:tcW w:w="5482" w:type="dxa"/>
            <w:vAlign w:val="top"/>
          </w:tcPr>
          <w:p w14:paraId="06EFA16E">
            <w:pPr>
              <w:pStyle w:val="65"/>
              <w:spacing w:before="57" w:line="227" w:lineRule="auto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spacing w:val="-2"/>
                <w:sz w:val="22"/>
                <w:szCs w:val="22"/>
              </w:rPr>
              <w:t>治安事件、危险品管理事件、消防安全事件、放</w:t>
            </w:r>
            <w:r>
              <w:rPr>
                <w:spacing w:val="-3"/>
                <w:sz w:val="22"/>
                <w:szCs w:val="22"/>
              </w:rPr>
              <w:t>射性</w:t>
            </w:r>
            <w:r>
              <w:rPr>
                <w:sz w:val="22"/>
                <w:szCs w:val="22"/>
              </w:rPr>
              <w:t xml:space="preserve"> (同位素)物品管理、特殊药物管制事件</w:t>
            </w:r>
            <w:r>
              <w:rPr>
                <w:rFonts w:hint="eastAsia"/>
                <w:sz w:val="22"/>
                <w:szCs w:val="22"/>
                <w:lang w:eastAsia="zh-CN"/>
              </w:rPr>
              <w:t>。</w:t>
            </w:r>
          </w:p>
        </w:tc>
      </w:tr>
      <w:tr w14:paraId="43A9A9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19" w:hRule="atLeast"/>
        </w:trPr>
        <w:tc>
          <w:tcPr>
            <w:tcW w:w="1483" w:type="dxa"/>
            <w:vMerge w:val="continue"/>
            <w:tcBorders/>
            <w:vAlign w:val="center"/>
          </w:tcPr>
          <w:p w14:paraId="1091291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84" w:type="dxa"/>
            <w:vAlign w:val="center"/>
          </w:tcPr>
          <w:p w14:paraId="63604D3A">
            <w:pPr>
              <w:spacing w:line="285" w:lineRule="auto"/>
              <w:jc w:val="center"/>
              <w:rPr>
                <w:rFonts w:ascii="Arial"/>
                <w:sz w:val="21"/>
              </w:rPr>
            </w:pPr>
          </w:p>
          <w:p w14:paraId="66A06261">
            <w:pPr>
              <w:pStyle w:val="65"/>
              <w:spacing w:before="72" w:line="219" w:lineRule="auto"/>
              <w:ind w:left="101"/>
              <w:jc w:val="center"/>
            </w:pPr>
            <w:r>
              <w:rPr>
                <w:spacing w:val="6"/>
              </w:rPr>
              <w:t>信息安全</w:t>
            </w:r>
          </w:p>
        </w:tc>
        <w:tc>
          <w:tcPr>
            <w:tcW w:w="5482" w:type="dxa"/>
            <w:vAlign w:val="top"/>
          </w:tcPr>
          <w:p w14:paraId="1FDD27C2">
            <w:pPr>
              <w:pStyle w:val="65"/>
              <w:spacing w:before="58" w:line="238" w:lineRule="auto"/>
              <w:jc w:val="both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spacing w:val="-2"/>
                <w:sz w:val="22"/>
                <w:szCs w:val="22"/>
              </w:rPr>
              <w:t>软件故障、电脑硬件故障、信息丢失、篡改、销</w:t>
            </w:r>
            <w:r>
              <w:rPr>
                <w:spacing w:val="-3"/>
                <w:sz w:val="22"/>
                <w:szCs w:val="22"/>
              </w:rPr>
              <w:t>毁、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黑客攻击、计算机病毒、内/外部泄密、网络故障或瘫</w:t>
            </w:r>
            <w:r>
              <w:rPr>
                <w:spacing w:val="-5"/>
                <w:sz w:val="22"/>
                <w:szCs w:val="22"/>
              </w:rPr>
              <w:t>痪、员工跌倒、意外伤害、工伤等事件</w:t>
            </w:r>
            <w:r>
              <w:rPr>
                <w:rFonts w:hint="eastAsia"/>
                <w:spacing w:val="-5"/>
                <w:sz w:val="22"/>
                <w:szCs w:val="22"/>
                <w:lang w:eastAsia="zh-CN"/>
              </w:rPr>
              <w:t>。</w:t>
            </w:r>
          </w:p>
        </w:tc>
      </w:tr>
      <w:tr w14:paraId="64CB5F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20" w:hRule="atLeast"/>
        </w:trPr>
        <w:tc>
          <w:tcPr>
            <w:tcW w:w="1483" w:type="dxa"/>
            <w:vMerge w:val="continue"/>
            <w:tcBorders/>
            <w:vAlign w:val="center"/>
          </w:tcPr>
          <w:p w14:paraId="26D22DA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84" w:type="dxa"/>
            <w:vAlign w:val="center"/>
          </w:tcPr>
          <w:p w14:paraId="40E061BA">
            <w:pPr>
              <w:pStyle w:val="65"/>
              <w:spacing w:before="60" w:line="209" w:lineRule="auto"/>
              <w:ind w:left="101"/>
              <w:jc w:val="center"/>
            </w:pPr>
            <w:r>
              <w:rPr>
                <w:spacing w:val="6"/>
              </w:rPr>
              <w:t>食品安全</w:t>
            </w:r>
          </w:p>
        </w:tc>
        <w:tc>
          <w:tcPr>
            <w:tcW w:w="5482" w:type="dxa"/>
            <w:vAlign w:val="top"/>
          </w:tcPr>
          <w:p w14:paraId="7AD36567">
            <w:pPr>
              <w:pStyle w:val="65"/>
              <w:spacing w:before="59" w:line="210" w:lineRule="auto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spacing w:val="-1"/>
                <w:sz w:val="22"/>
                <w:szCs w:val="22"/>
              </w:rPr>
              <w:t>食品安全事件、食品消毒事件</w:t>
            </w:r>
            <w:r>
              <w:rPr>
                <w:rFonts w:hint="eastAsia"/>
                <w:spacing w:val="-1"/>
                <w:sz w:val="22"/>
                <w:szCs w:val="22"/>
                <w:lang w:eastAsia="zh-CN"/>
              </w:rPr>
              <w:t>。</w:t>
            </w:r>
          </w:p>
        </w:tc>
      </w:tr>
      <w:tr w14:paraId="75FAC0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15" w:hRule="atLeast"/>
        </w:trPr>
        <w:tc>
          <w:tcPr>
            <w:tcW w:w="1483" w:type="dxa"/>
            <w:vMerge w:val="continue"/>
            <w:tcBorders/>
            <w:vAlign w:val="center"/>
          </w:tcPr>
          <w:p w14:paraId="3233CD16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84" w:type="dxa"/>
            <w:vAlign w:val="center"/>
          </w:tcPr>
          <w:p w14:paraId="28B75B1A">
            <w:pPr>
              <w:pStyle w:val="65"/>
              <w:spacing w:before="60" w:line="205" w:lineRule="auto"/>
              <w:ind w:left="101"/>
              <w:jc w:val="center"/>
            </w:pPr>
            <w:r>
              <w:rPr>
                <w:spacing w:val="6"/>
              </w:rPr>
              <w:t>工程安全</w:t>
            </w:r>
          </w:p>
        </w:tc>
        <w:tc>
          <w:tcPr>
            <w:tcW w:w="5482" w:type="dxa"/>
            <w:vAlign w:val="top"/>
          </w:tcPr>
          <w:p w14:paraId="4423695D">
            <w:pPr>
              <w:pStyle w:val="65"/>
              <w:spacing w:before="59" w:line="206" w:lineRule="auto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spacing w:val="-2"/>
                <w:sz w:val="22"/>
                <w:szCs w:val="22"/>
              </w:rPr>
              <w:t>基建安全事件</w:t>
            </w:r>
            <w:r>
              <w:rPr>
                <w:rFonts w:hint="eastAsia"/>
                <w:spacing w:val="-2"/>
                <w:sz w:val="22"/>
                <w:szCs w:val="22"/>
                <w:lang w:eastAsia="zh-CN"/>
              </w:rPr>
              <w:t>。</w:t>
            </w:r>
          </w:p>
        </w:tc>
      </w:tr>
      <w:tr w14:paraId="2EDF69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33" w:hRule="atLeast"/>
        </w:trPr>
        <w:tc>
          <w:tcPr>
            <w:tcW w:w="1483" w:type="dxa"/>
            <w:vMerge w:val="continue"/>
            <w:tcBorders/>
            <w:vAlign w:val="center"/>
          </w:tcPr>
          <w:p w14:paraId="6FE16CA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84" w:type="dxa"/>
            <w:tcBorders>
              <w:right w:val="single" w:color="000000" w:sz="2" w:space="0"/>
            </w:tcBorders>
            <w:vAlign w:val="center"/>
          </w:tcPr>
          <w:p w14:paraId="0EA8828C">
            <w:pPr>
              <w:spacing w:line="293" w:lineRule="auto"/>
              <w:jc w:val="center"/>
              <w:rPr>
                <w:rFonts w:ascii="Arial"/>
                <w:sz w:val="21"/>
              </w:rPr>
            </w:pPr>
          </w:p>
          <w:p w14:paraId="38AD3D1C">
            <w:pPr>
              <w:pStyle w:val="65"/>
              <w:spacing w:before="69" w:line="219" w:lineRule="auto"/>
              <w:ind w:left="91"/>
              <w:jc w:val="center"/>
            </w:pPr>
            <w:r>
              <w:rPr>
                <w:spacing w:val="7"/>
              </w:rPr>
              <w:t>职业伤害</w:t>
            </w:r>
          </w:p>
        </w:tc>
        <w:tc>
          <w:tcPr>
            <w:tcW w:w="5482" w:type="dxa"/>
            <w:tcBorders>
              <w:left w:val="single" w:color="000000" w:sz="2" w:space="0"/>
            </w:tcBorders>
            <w:vAlign w:val="top"/>
          </w:tcPr>
          <w:p w14:paraId="3F0C0BF0">
            <w:pPr>
              <w:pStyle w:val="65"/>
              <w:spacing w:before="52" w:line="255" w:lineRule="auto"/>
              <w:ind w:right="152"/>
              <w:jc w:val="both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spacing w:val="-5"/>
                <w:sz w:val="22"/>
                <w:szCs w:val="22"/>
              </w:rPr>
              <w:t>职业暴露—针头和锐器、职业暴露一体液和血液、职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业暴露一放射线泄露、职业暴露一未行防护、职业暴</w:t>
            </w:r>
            <w:r>
              <w:rPr>
                <w:sz w:val="22"/>
                <w:szCs w:val="22"/>
              </w:rPr>
              <w:t>露一误照射、员工跌倒、员工意外伤害、工伤事件</w:t>
            </w:r>
            <w:r>
              <w:rPr>
                <w:rFonts w:hint="eastAsia"/>
                <w:sz w:val="22"/>
                <w:szCs w:val="22"/>
                <w:lang w:eastAsia="zh-CN"/>
              </w:rPr>
              <w:t>。</w:t>
            </w:r>
          </w:p>
        </w:tc>
      </w:tr>
      <w:tr w14:paraId="3BC524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09" w:hRule="atLeast"/>
        </w:trPr>
        <w:tc>
          <w:tcPr>
            <w:tcW w:w="1483" w:type="dxa"/>
            <w:vMerge w:val="continue"/>
            <w:tcBorders/>
            <w:vAlign w:val="center"/>
          </w:tcPr>
          <w:p w14:paraId="041B9F6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84" w:type="dxa"/>
            <w:tcBorders>
              <w:right w:val="single" w:color="000000" w:sz="2" w:space="0"/>
            </w:tcBorders>
            <w:vAlign w:val="center"/>
          </w:tcPr>
          <w:p w14:paraId="1FED9A39">
            <w:pPr>
              <w:pStyle w:val="65"/>
              <w:spacing w:before="52" w:line="217" w:lineRule="auto"/>
              <w:ind w:left="91"/>
              <w:jc w:val="center"/>
            </w:pPr>
            <w:r>
              <w:rPr>
                <w:spacing w:val="7"/>
              </w:rPr>
              <w:t>生物安全</w:t>
            </w:r>
          </w:p>
        </w:tc>
        <w:tc>
          <w:tcPr>
            <w:tcW w:w="5482" w:type="dxa"/>
            <w:tcBorders>
              <w:left w:val="single" w:color="000000" w:sz="2" w:space="0"/>
            </w:tcBorders>
            <w:vAlign w:val="top"/>
          </w:tcPr>
          <w:p w14:paraId="4A56C08C">
            <w:pPr>
              <w:pStyle w:val="65"/>
              <w:spacing w:before="49" w:line="219" w:lineRule="auto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spacing w:val="-1"/>
                <w:sz w:val="22"/>
                <w:szCs w:val="22"/>
              </w:rPr>
              <w:t>试剂与仪器事件、生化污染事件、生物安全突发事件</w:t>
            </w:r>
            <w:r>
              <w:rPr>
                <w:rFonts w:hint="eastAsia"/>
                <w:spacing w:val="-1"/>
                <w:sz w:val="22"/>
                <w:szCs w:val="22"/>
                <w:lang w:eastAsia="zh-CN"/>
              </w:rPr>
              <w:t>。</w:t>
            </w:r>
          </w:p>
        </w:tc>
      </w:tr>
      <w:tr w14:paraId="31C57D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48" w:hRule="atLeast"/>
        </w:trPr>
        <w:tc>
          <w:tcPr>
            <w:tcW w:w="1483" w:type="dxa"/>
            <w:vMerge w:val="continue"/>
            <w:tcBorders/>
            <w:vAlign w:val="center"/>
          </w:tcPr>
          <w:p w14:paraId="3FE0BCF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84" w:type="dxa"/>
            <w:tcBorders>
              <w:right w:val="single" w:color="000000" w:sz="2" w:space="0"/>
            </w:tcBorders>
            <w:vAlign w:val="center"/>
          </w:tcPr>
          <w:p w14:paraId="67EE03CB">
            <w:pPr>
              <w:spacing w:line="302" w:lineRule="auto"/>
              <w:jc w:val="center"/>
              <w:rPr>
                <w:rFonts w:ascii="Arial"/>
                <w:sz w:val="21"/>
              </w:rPr>
            </w:pPr>
          </w:p>
          <w:p w14:paraId="282EC866">
            <w:pPr>
              <w:pStyle w:val="65"/>
              <w:spacing w:before="68" w:line="220" w:lineRule="auto"/>
              <w:ind w:left="91"/>
              <w:jc w:val="center"/>
            </w:pPr>
            <w:r>
              <w:rPr>
                <w:spacing w:val="6"/>
              </w:rPr>
              <w:t>行政及其他</w:t>
            </w:r>
          </w:p>
        </w:tc>
        <w:tc>
          <w:tcPr>
            <w:tcW w:w="5482" w:type="dxa"/>
            <w:tcBorders>
              <w:left w:val="single" w:color="000000" w:sz="2" w:space="0"/>
            </w:tcBorders>
            <w:vAlign w:val="top"/>
          </w:tcPr>
          <w:p w14:paraId="743C215B">
            <w:pPr>
              <w:pStyle w:val="65"/>
              <w:spacing w:before="60" w:line="257" w:lineRule="auto"/>
              <w:ind w:right="39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spacing w:val="4"/>
                <w:sz w:val="22"/>
                <w:szCs w:val="22"/>
              </w:rPr>
              <w:t>不作为事件、其他安全(不良)事件、由管理流程、</w:t>
            </w:r>
            <w:r>
              <w:rPr>
                <w:spacing w:val="5"/>
                <w:sz w:val="22"/>
                <w:szCs w:val="22"/>
              </w:rPr>
              <w:t xml:space="preserve">  </w:t>
            </w:r>
            <w:r>
              <w:rPr>
                <w:spacing w:val="6"/>
                <w:sz w:val="22"/>
                <w:szCs w:val="22"/>
              </w:rPr>
              <w:t>制度或机制问题造成的事件、员工跌倒、意</w:t>
            </w:r>
            <w:r>
              <w:rPr>
                <w:spacing w:val="5"/>
                <w:sz w:val="22"/>
                <w:szCs w:val="22"/>
              </w:rPr>
              <w:t>外伤害、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工伤等事件</w:t>
            </w:r>
            <w:r>
              <w:rPr>
                <w:rFonts w:hint="eastAsia"/>
                <w:spacing w:val="-2"/>
                <w:sz w:val="22"/>
                <w:szCs w:val="22"/>
                <w:lang w:eastAsia="zh-CN"/>
              </w:rPr>
              <w:t>。</w:t>
            </w:r>
          </w:p>
        </w:tc>
      </w:tr>
      <w:tr w14:paraId="1004CE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29" w:hRule="atLeast"/>
        </w:trPr>
        <w:tc>
          <w:tcPr>
            <w:tcW w:w="1483" w:type="dxa"/>
            <w:vMerge w:val="restart"/>
            <w:tcBorders>
              <w:bottom w:val="nil"/>
            </w:tcBorders>
            <w:vAlign w:val="center"/>
          </w:tcPr>
          <w:p w14:paraId="1FD60FAA">
            <w:pPr>
              <w:pStyle w:val="65"/>
              <w:spacing w:before="68" w:line="220" w:lineRule="auto"/>
              <w:jc w:val="center"/>
            </w:pPr>
            <w:r>
              <w:rPr>
                <w:spacing w:val="2"/>
              </w:rPr>
              <w:t>统计分析</w:t>
            </w:r>
          </w:p>
        </w:tc>
        <w:tc>
          <w:tcPr>
            <w:tcW w:w="1484" w:type="dxa"/>
            <w:tcBorders>
              <w:right w:val="single" w:color="000000" w:sz="2" w:space="0"/>
            </w:tcBorders>
            <w:vAlign w:val="center"/>
          </w:tcPr>
          <w:p w14:paraId="4CDEACB1">
            <w:pPr>
              <w:pStyle w:val="65"/>
              <w:spacing w:before="214" w:line="221" w:lineRule="auto"/>
              <w:jc w:val="center"/>
            </w:pPr>
            <w:r>
              <w:rPr>
                <w:spacing w:val="4"/>
              </w:rPr>
              <w:t>统计查询</w:t>
            </w:r>
          </w:p>
        </w:tc>
        <w:tc>
          <w:tcPr>
            <w:tcW w:w="5482" w:type="dxa"/>
            <w:tcBorders>
              <w:left w:val="single" w:color="000000" w:sz="2" w:space="0"/>
            </w:tcBorders>
            <w:vAlign w:val="top"/>
          </w:tcPr>
          <w:p w14:paraId="09E34360">
            <w:pPr>
              <w:pStyle w:val="65"/>
              <w:spacing w:before="52" w:line="249" w:lineRule="auto"/>
              <w:ind w:left="115" w:right="84" w:hanging="29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可按照上报科室、事件类型、事件等级、月/季同比等</w:t>
            </w:r>
            <w:r>
              <w:rPr>
                <w:spacing w:val="1"/>
                <w:sz w:val="22"/>
                <w:szCs w:val="22"/>
              </w:rPr>
              <w:t>多种方式统计查询</w:t>
            </w:r>
            <w:r>
              <w:rPr>
                <w:rFonts w:hint="eastAsia"/>
                <w:spacing w:val="1"/>
                <w:sz w:val="22"/>
                <w:szCs w:val="22"/>
                <w:lang w:eastAsia="zh-CN"/>
              </w:rPr>
              <w:t>。</w:t>
            </w:r>
          </w:p>
        </w:tc>
      </w:tr>
      <w:tr w14:paraId="6494F4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19" w:hRule="atLeast"/>
        </w:trPr>
        <w:tc>
          <w:tcPr>
            <w:tcW w:w="1483" w:type="dxa"/>
            <w:vMerge w:val="continue"/>
            <w:tcBorders>
              <w:top w:val="nil"/>
              <w:bottom w:val="nil"/>
            </w:tcBorders>
            <w:vAlign w:val="center"/>
          </w:tcPr>
          <w:p w14:paraId="5E1D3AE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84" w:type="dxa"/>
            <w:tcBorders>
              <w:right w:val="single" w:color="000000" w:sz="2" w:space="0"/>
            </w:tcBorders>
            <w:vAlign w:val="center"/>
          </w:tcPr>
          <w:p w14:paraId="00BDF231">
            <w:pPr>
              <w:pStyle w:val="65"/>
              <w:spacing w:before="64" w:line="215" w:lineRule="auto"/>
              <w:ind w:left="91"/>
              <w:jc w:val="center"/>
            </w:pPr>
            <w:r>
              <w:rPr>
                <w:spacing w:val="-2"/>
              </w:rPr>
              <w:t>事件原因分析</w:t>
            </w:r>
          </w:p>
        </w:tc>
        <w:tc>
          <w:tcPr>
            <w:tcW w:w="5482" w:type="dxa"/>
            <w:tcBorders>
              <w:left w:val="single" w:color="000000" w:sz="2" w:space="0"/>
            </w:tcBorders>
            <w:vAlign w:val="top"/>
          </w:tcPr>
          <w:p w14:paraId="1123D373">
            <w:pPr>
              <w:pStyle w:val="65"/>
              <w:spacing w:before="64" w:line="215" w:lineRule="auto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spacing w:val="1"/>
                <w:sz w:val="22"/>
                <w:szCs w:val="22"/>
              </w:rPr>
              <w:t>支持环状图、鱼骨图、柏拉图</w:t>
            </w:r>
            <w:r>
              <w:rPr>
                <w:rFonts w:hint="eastAsia"/>
                <w:spacing w:val="1"/>
                <w:sz w:val="22"/>
                <w:szCs w:val="22"/>
                <w:lang w:eastAsia="zh-CN"/>
              </w:rPr>
              <w:t>。</w:t>
            </w:r>
          </w:p>
        </w:tc>
      </w:tr>
      <w:tr w14:paraId="5D40D4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09" w:hRule="atLeast"/>
        </w:trPr>
        <w:tc>
          <w:tcPr>
            <w:tcW w:w="1483" w:type="dxa"/>
            <w:vMerge w:val="continue"/>
            <w:tcBorders>
              <w:top w:val="nil"/>
              <w:bottom w:val="nil"/>
            </w:tcBorders>
            <w:vAlign w:val="center"/>
          </w:tcPr>
          <w:p w14:paraId="574E2A8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84" w:type="dxa"/>
            <w:tcBorders>
              <w:right w:val="single" w:color="000000" w:sz="2" w:space="0"/>
            </w:tcBorders>
            <w:vAlign w:val="center"/>
          </w:tcPr>
          <w:p w14:paraId="62C82816">
            <w:pPr>
              <w:pStyle w:val="65"/>
              <w:spacing w:before="56" w:line="213" w:lineRule="auto"/>
              <w:ind w:left="91"/>
              <w:jc w:val="center"/>
            </w:pPr>
            <w:r>
              <w:t>SAC</w:t>
            </w:r>
            <w:r>
              <w:rPr>
                <w:spacing w:val="3"/>
              </w:rPr>
              <w:t>风险分析</w:t>
            </w:r>
          </w:p>
        </w:tc>
        <w:tc>
          <w:tcPr>
            <w:tcW w:w="5482" w:type="dxa"/>
            <w:tcBorders>
              <w:left w:val="single" w:color="000000" w:sz="2" w:space="0"/>
            </w:tcBorders>
            <w:vAlign w:val="top"/>
          </w:tcPr>
          <w:p w14:paraId="217358D9">
            <w:pPr>
              <w:pStyle w:val="65"/>
              <w:spacing w:before="55" w:line="214" w:lineRule="auto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spacing w:val="-1"/>
                <w:sz w:val="22"/>
                <w:szCs w:val="22"/>
              </w:rPr>
              <w:t>事件中的SAC原因统计分析</w:t>
            </w:r>
            <w:r>
              <w:rPr>
                <w:rFonts w:hint="eastAsia"/>
                <w:spacing w:val="-1"/>
                <w:sz w:val="22"/>
                <w:szCs w:val="22"/>
                <w:lang w:eastAsia="zh-CN"/>
              </w:rPr>
              <w:t>。</w:t>
            </w:r>
          </w:p>
        </w:tc>
      </w:tr>
      <w:tr w14:paraId="37496B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29" w:hRule="atLeast"/>
        </w:trPr>
        <w:tc>
          <w:tcPr>
            <w:tcW w:w="1483" w:type="dxa"/>
            <w:vMerge w:val="continue"/>
            <w:tcBorders>
              <w:top w:val="nil"/>
            </w:tcBorders>
            <w:vAlign w:val="center"/>
          </w:tcPr>
          <w:p w14:paraId="082977AE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84" w:type="dxa"/>
            <w:tcBorders>
              <w:right w:val="single" w:color="000000" w:sz="2" w:space="0"/>
            </w:tcBorders>
            <w:vAlign w:val="center"/>
          </w:tcPr>
          <w:p w14:paraId="62042A9F">
            <w:pPr>
              <w:pStyle w:val="65"/>
              <w:spacing w:before="215" w:line="219" w:lineRule="auto"/>
              <w:ind w:left="91"/>
              <w:jc w:val="center"/>
            </w:pPr>
            <w:r>
              <w:rPr>
                <w:spacing w:val="-2"/>
              </w:rPr>
              <w:t>通用简报</w:t>
            </w:r>
          </w:p>
        </w:tc>
        <w:tc>
          <w:tcPr>
            <w:tcW w:w="5482" w:type="dxa"/>
            <w:tcBorders>
              <w:left w:val="single" w:color="000000" w:sz="2" w:space="0"/>
            </w:tcBorders>
            <w:vAlign w:val="top"/>
          </w:tcPr>
          <w:p w14:paraId="355E4641">
            <w:pPr>
              <w:pStyle w:val="65"/>
              <w:spacing w:before="54" w:line="248" w:lineRule="auto"/>
              <w:ind w:left="115" w:right="54" w:hanging="7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可根据时间筛选生成月报，季报和年报的简报分析；可</w:t>
            </w:r>
            <w:r>
              <w:rPr>
                <w:rFonts w:hint="eastAsia"/>
                <w:spacing w:val="-1"/>
                <w:sz w:val="22"/>
                <w:szCs w:val="22"/>
                <w:lang w:eastAsia="zh-CN"/>
              </w:rPr>
              <w:t>导</w:t>
            </w:r>
            <w:r>
              <w:rPr>
                <w:spacing w:val="-1"/>
                <w:sz w:val="22"/>
                <w:szCs w:val="22"/>
              </w:rPr>
              <w:t>出WORD对简报进行再加工处理。</w:t>
            </w:r>
          </w:p>
        </w:tc>
      </w:tr>
      <w:tr w14:paraId="4F4717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19" w:hRule="atLeast"/>
        </w:trPr>
        <w:tc>
          <w:tcPr>
            <w:tcW w:w="1483" w:type="dxa"/>
            <w:vMerge w:val="restart"/>
            <w:tcBorders>
              <w:bottom w:val="nil"/>
            </w:tcBorders>
            <w:vAlign w:val="center"/>
          </w:tcPr>
          <w:p w14:paraId="0AA89625">
            <w:pPr>
              <w:pStyle w:val="65"/>
              <w:spacing w:before="68" w:line="219" w:lineRule="auto"/>
              <w:jc w:val="center"/>
            </w:pPr>
            <w:r>
              <w:rPr>
                <w:spacing w:val="4"/>
              </w:rPr>
              <w:t>上报国家网</w:t>
            </w:r>
          </w:p>
        </w:tc>
        <w:tc>
          <w:tcPr>
            <w:tcW w:w="1484" w:type="dxa"/>
            <w:tcBorders>
              <w:right w:val="single" w:color="000000" w:sz="2" w:space="0"/>
            </w:tcBorders>
            <w:vAlign w:val="center"/>
          </w:tcPr>
          <w:p w14:paraId="4A4742E9">
            <w:pPr>
              <w:pStyle w:val="65"/>
              <w:spacing w:before="217" w:line="219" w:lineRule="auto"/>
              <w:ind w:left="91"/>
              <w:jc w:val="center"/>
            </w:pPr>
            <w:r>
              <w:rPr>
                <w:spacing w:val="2"/>
              </w:rPr>
              <w:t>药品上报</w:t>
            </w:r>
          </w:p>
        </w:tc>
        <w:tc>
          <w:tcPr>
            <w:tcW w:w="5482" w:type="dxa"/>
            <w:tcBorders>
              <w:left w:val="single" w:color="000000" w:sz="2" w:space="0"/>
            </w:tcBorders>
            <w:vAlign w:val="top"/>
          </w:tcPr>
          <w:p w14:paraId="4D47A721">
            <w:pPr>
              <w:pStyle w:val="65"/>
              <w:spacing w:before="56" w:line="243" w:lineRule="auto"/>
              <w:ind w:right="154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spacing w:val="-1"/>
                <w:sz w:val="22"/>
                <w:szCs w:val="22"/>
              </w:rPr>
              <w:t>提取需要上报的药品不良反应事件，点击按钮自动上</w:t>
            </w:r>
            <w:r>
              <w:rPr>
                <w:sz w:val="22"/>
                <w:szCs w:val="22"/>
              </w:rPr>
              <w:t>报</w:t>
            </w:r>
            <w:r>
              <w:rPr>
                <w:rFonts w:hint="eastAsia"/>
                <w:sz w:val="22"/>
                <w:szCs w:val="22"/>
                <w:lang w:eastAsia="zh-CN"/>
              </w:rPr>
              <w:t>。</w:t>
            </w:r>
          </w:p>
        </w:tc>
      </w:tr>
      <w:tr w14:paraId="5A1D93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34" w:hRule="atLeast"/>
        </w:trPr>
        <w:tc>
          <w:tcPr>
            <w:tcW w:w="1483" w:type="dxa"/>
            <w:vMerge w:val="continue"/>
            <w:tcBorders>
              <w:top w:val="nil"/>
            </w:tcBorders>
            <w:vAlign w:val="center"/>
          </w:tcPr>
          <w:p w14:paraId="0055556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84" w:type="dxa"/>
            <w:tcBorders>
              <w:right w:val="single" w:color="000000" w:sz="2" w:space="0"/>
            </w:tcBorders>
            <w:vAlign w:val="center"/>
          </w:tcPr>
          <w:p w14:paraId="78AE83EE">
            <w:pPr>
              <w:pStyle w:val="65"/>
              <w:spacing w:before="218" w:line="219" w:lineRule="auto"/>
              <w:ind w:left="91"/>
              <w:jc w:val="center"/>
            </w:pPr>
            <w:r>
              <w:rPr>
                <w:spacing w:val="1"/>
              </w:rPr>
              <w:t>医疗器械上报</w:t>
            </w:r>
          </w:p>
        </w:tc>
        <w:tc>
          <w:tcPr>
            <w:tcW w:w="5482" w:type="dxa"/>
            <w:tcBorders>
              <w:left w:val="single" w:color="000000" w:sz="2" w:space="0"/>
            </w:tcBorders>
            <w:vAlign w:val="top"/>
          </w:tcPr>
          <w:p w14:paraId="00DC4C4A">
            <w:pPr>
              <w:pStyle w:val="65"/>
              <w:spacing w:before="68" w:line="244" w:lineRule="auto"/>
              <w:ind w:right="154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spacing w:val="-1"/>
                <w:sz w:val="22"/>
                <w:szCs w:val="22"/>
              </w:rPr>
              <w:t>提取需要上报的医疗器械不良事件，点击按钮自动上</w:t>
            </w:r>
            <w:r>
              <w:rPr>
                <w:sz w:val="22"/>
                <w:szCs w:val="22"/>
              </w:rPr>
              <w:t>报</w:t>
            </w:r>
            <w:r>
              <w:rPr>
                <w:rFonts w:hint="eastAsia"/>
                <w:sz w:val="22"/>
                <w:szCs w:val="22"/>
                <w:lang w:eastAsia="zh-CN"/>
              </w:rPr>
              <w:t>。</w:t>
            </w:r>
          </w:p>
        </w:tc>
      </w:tr>
    </w:tbl>
    <w:p w14:paraId="2170F58F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ind w:left="0" w:leftChars="0" w:firstLine="482" w:firstLineChars="200"/>
        <w:textAlignment w:val="auto"/>
        <w:rPr>
          <w:rFonts w:hint="eastAsia" w:ascii="宋体" w:hAnsi="宋体"/>
          <w:b/>
          <w:sz w:val="24"/>
          <w:szCs w:val="20"/>
          <w:lang w:val="en-US" w:eastAsia="zh-CN"/>
        </w:rPr>
      </w:pPr>
      <w:r>
        <w:rPr>
          <w:rFonts w:hint="eastAsia" w:ascii="宋体" w:hAnsi="宋体"/>
          <w:b/>
          <w:sz w:val="24"/>
          <w:szCs w:val="20"/>
          <w:lang w:val="en-US" w:eastAsia="zh-CN"/>
        </w:rPr>
        <w:t>运维服务内容</w:t>
      </w:r>
    </w:p>
    <w:p w14:paraId="3F5FFEF2">
      <w:pPr>
        <w:keepNext w:val="0"/>
        <w:keepLines w:val="0"/>
        <w:pageBreakBefore w:val="0"/>
        <w:widowControl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40" w:firstLineChars="200"/>
        <w:textAlignment w:val="auto"/>
        <w:rPr>
          <w:rFonts w:hint="eastAsia" w:ascii="宋体" w:hAnsi="宋体" w:eastAsia="宋体" w:cs="宋体"/>
          <w:color w:val="000000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sz w:val="22"/>
          <w:szCs w:val="22"/>
        </w:rPr>
        <w:t>系统日常运维服务，包括但不限于系统操作指导、各种BUG修复、因操作失误导致的数据错误维护、免费对接第三方接口等。</w:t>
      </w:r>
    </w:p>
    <w:p w14:paraId="6C4B8D93">
      <w:pPr>
        <w:keepNext w:val="0"/>
        <w:keepLines w:val="0"/>
        <w:pageBreakBefore w:val="0"/>
        <w:widowControl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firstLine="440" w:firstLineChars="200"/>
        <w:textAlignment w:val="auto"/>
        <w:rPr>
          <w:rFonts w:hint="eastAsia" w:ascii="宋体" w:hAnsi="宋体" w:eastAsia="宋体" w:cs="宋体"/>
          <w:color w:val="000000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sz w:val="22"/>
          <w:szCs w:val="22"/>
        </w:rPr>
        <w:t>系统突发事件的诊断、排除。</w:t>
      </w:r>
    </w:p>
    <w:p w14:paraId="1DCB982B">
      <w:pPr>
        <w:keepNext w:val="0"/>
        <w:keepLines w:val="0"/>
        <w:pageBreakBefore w:val="0"/>
        <w:widowControl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firstLine="440" w:firstLineChars="200"/>
        <w:textAlignment w:val="auto"/>
        <w:rPr>
          <w:rFonts w:hint="eastAsia" w:ascii="宋体" w:hAnsi="宋体" w:eastAsia="宋体" w:cs="宋体"/>
          <w:color w:val="000000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sz w:val="22"/>
          <w:szCs w:val="22"/>
        </w:rPr>
        <w:t>因</w:t>
      </w:r>
      <w:r>
        <w:rPr>
          <w:rFonts w:hint="eastAsia" w:ascii="宋体" w:hAnsi="宋体" w:eastAsia="宋体" w:cs="宋体"/>
          <w:color w:val="000000"/>
          <w:sz w:val="22"/>
          <w:szCs w:val="22"/>
          <w:lang w:eastAsia="zh-CN"/>
        </w:rPr>
        <w:t>需方</w:t>
      </w:r>
      <w:r>
        <w:rPr>
          <w:rFonts w:hint="eastAsia" w:ascii="宋体" w:hAnsi="宋体" w:eastAsia="宋体" w:cs="宋体"/>
          <w:color w:val="000000"/>
          <w:sz w:val="22"/>
          <w:szCs w:val="22"/>
        </w:rPr>
        <w:t>业务发展需要或需求变动造成系统的新增、完善软件功能开发工作，包括但不限于新增修改报表、系统相关需求等。</w:t>
      </w:r>
    </w:p>
    <w:p w14:paraId="707C1BF3">
      <w:pPr>
        <w:keepNext w:val="0"/>
        <w:keepLines w:val="0"/>
        <w:pageBreakBefore w:val="0"/>
        <w:widowControl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firstLine="440" w:firstLineChars="200"/>
        <w:textAlignment w:val="auto"/>
        <w:rPr>
          <w:rFonts w:hint="eastAsia" w:ascii="宋体" w:hAnsi="宋体" w:eastAsia="宋体" w:cs="宋体"/>
          <w:color w:val="000000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lang w:eastAsia="zh-CN"/>
        </w:rPr>
        <w:t>运维期内，供方</w:t>
      </w:r>
      <w:r>
        <w:rPr>
          <w:rFonts w:hint="eastAsia" w:ascii="宋体" w:hAnsi="宋体" w:eastAsia="宋体" w:cs="宋体"/>
          <w:color w:val="000000"/>
          <w:sz w:val="22"/>
          <w:szCs w:val="22"/>
        </w:rPr>
        <w:t>须指定专人对</w:t>
      </w:r>
      <w:r>
        <w:rPr>
          <w:rFonts w:hint="eastAsia" w:ascii="宋体" w:hAnsi="宋体" w:eastAsia="宋体" w:cs="宋体"/>
          <w:color w:val="000000"/>
          <w:sz w:val="22"/>
          <w:szCs w:val="22"/>
          <w:lang w:eastAsia="zh-CN"/>
        </w:rPr>
        <w:t>需方</w:t>
      </w:r>
      <w:r>
        <w:rPr>
          <w:rFonts w:hint="eastAsia" w:ascii="宋体" w:hAnsi="宋体" w:eastAsia="宋体" w:cs="宋体"/>
          <w:color w:val="000000"/>
          <w:sz w:val="22"/>
          <w:szCs w:val="22"/>
        </w:rPr>
        <w:t>提出的系统软件各项相关技术问题进行解答，包括但不限于技术咨询、指导和信息提供等。</w:t>
      </w:r>
    </w:p>
    <w:p w14:paraId="7D28AE62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40" w:firstLineChars="200"/>
        <w:textAlignment w:val="auto"/>
        <w:rPr>
          <w:rFonts w:hint="eastAsia" w:ascii="宋体" w:hAnsi="宋体" w:eastAsia="宋体" w:cs="宋体"/>
          <w:color w:val="000000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lang w:val="en-US" w:eastAsia="zh-CN"/>
        </w:rPr>
        <w:t xml:space="preserve">2.5 </w:t>
      </w:r>
      <w:r>
        <w:rPr>
          <w:rFonts w:hint="eastAsia" w:ascii="宋体" w:hAnsi="宋体" w:eastAsia="宋体" w:cs="宋体"/>
          <w:color w:val="000000"/>
          <w:sz w:val="22"/>
          <w:szCs w:val="22"/>
          <w:lang w:eastAsia="zh-CN"/>
        </w:rPr>
        <w:t>运维期内，供方</w:t>
      </w:r>
      <w:r>
        <w:rPr>
          <w:rFonts w:hint="eastAsia" w:ascii="宋体" w:hAnsi="宋体" w:eastAsia="宋体" w:cs="宋体"/>
          <w:color w:val="000000"/>
          <w:sz w:val="22"/>
          <w:szCs w:val="22"/>
        </w:rPr>
        <w:t>定期指派专人清理运维过程中所生成的生产数据库中的临时表，优化数据库，如建立并优化索引、优化存储过程、数据库表拆分等，并形成优化运维记录。</w:t>
      </w:r>
    </w:p>
    <w:p w14:paraId="452B47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="宋体" w:hAnsi="宋体" w:eastAsia="宋体" w:cs="宋体"/>
          <w:color w:val="000000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lang w:val="en-US" w:eastAsia="zh-CN"/>
        </w:rPr>
        <w:t xml:space="preserve">2.6 </w:t>
      </w:r>
      <w:r>
        <w:rPr>
          <w:rFonts w:hint="eastAsia" w:ascii="宋体" w:hAnsi="宋体" w:eastAsia="宋体" w:cs="宋体"/>
          <w:color w:val="000000"/>
          <w:sz w:val="22"/>
          <w:szCs w:val="22"/>
          <w:lang w:eastAsia="zh-CN"/>
        </w:rPr>
        <w:t>运维期内，</w:t>
      </w:r>
      <w:r>
        <w:rPr>
          <w:rFonts w:hint="eastAsia" w:ascii="宋体" w:hAnsi="宋体" w:eastAsia="宋体" w:cs="宋体"/>
          <w:color w:val="000000"/>
          <w:sz w:val="22"/>
          <w:szCs w:val="22"/>
        </w:rPr>
        <w:t>为满足上级指令性或医院评级</w:t>
      </w:r>
      <w:r>
        <w:rPr>
          <w:rFonts w:hint="eastAsia" w:ascii="宋体" w:hAnsi="宋体" w:eastAsia="宋体" w:cs="宋体"/>
          <w:color w:val="000000"/>
          <w:sz w:val="22"/>
          <w:szCs w:val="22"/>
          <w:lang w:eastAsia="zh-CN"/>
        </w:rPr>
        <w:t>、评审</w:t>
      </w:r>
      <w:r>
        <w:rPr>
          <w:rFonts w:hint="eastAsia" w:ascii="宋体" w:hAnsi="宋体" w:eastAsia="宋体" w:cs="宋体"/>
          <w:color w:val="000000"/>
          <w:sz w:val="22"/>
          <w:szCs w:val="22"/>
        </w:rPr>
        <w:t>要求，必须无条件免费配合医院</w:t>
      </w:r>
      <w:r>
        <w:rPr>
          <w:rFonts w:hint="eastAsia" w:ascii="宋体" w:hAnsi="宋体" w:eastAsia="宋体" w:cs="宋体"/>
          <w:color w:val="000000"/>
          <w:sz w:val="22"/>
          <w:szCs w:val="22"/>
          <w:lang w:eastAsia="zh-CN"/>
        </w:rPr>
        <w:t>完</w:t>
      </w:r>
      <w:r>
        <w:rPr>
          <w:rFonts w:hint="eastAsia" w:ascii="宋体" w:hAnsi="宋体" w:eastAsia="宋体" w:cs="宋体"/>
          <w:color w:val="000000"/>
          <w:sz w:val="22"/>
          <w:szCs w:val="22"/>
        </w:rPr>
        <w:t>成系统改造工作。</w:t>
      </w:r>
    </w:p>
    <w:p w14:paraId="2741D7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42" w:firstLineChars="200"/>
        <w:textAlignment w:val="auto"/>
        <w:rPr>
          <w:rFonts w:hint="eastAsia" w:ascii="宋体" w:hAnsi="宋体" w:eastAsia="宋体" w:cs="宋体"/>
          <w:b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sz w:val="22"/>
          <w:szCs w:val="22"/>
          <w:lang w:val="en-US" w:eastAsia="zh-CN"/>
        </w:rPr>
        <w:t>3. 运维服务形式</w:t>
      </w:r>
    </w:p>
    <w:p w14:paraId="29B5B0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="宋体" w:hAnsi="宋体" w:eastAsia="宋体" w:cs="宋体"/>
          <w:color w:val="000000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lang w:val="en-US" w:eastAsia="zh-CN"/>
        </w:rPr>
        <w:t xml:space="preserve">3.1 </w:t>
      </w:r>
      <w:r>
        <w:rPr>
          <w:rFonts w:hint="eastAsia" w:ascii="宋体" w:hAnsi="宋体" w:eastAsia="宋体" w:cs="宋体"/>
          <w:color w:val="000000"/>
          <w:sz w:val="22"/>
          <w:szCs w:val="22"/>
        </w:rPr>
        <w:t>远程维护，即</w:t>
      </w:r>
      <w:r>
        <w:rPr>
          <w:rFonts w:hint="eastAsia" w:ascii="宋体" w:hAnsi="宋体" w:eastAsia="宋体" w:cs="宋体"/>
          <w:color w:val="000000"/>
          <w:sz w:val="22"/>
          <w:szCs w:val="22"/>
          <w:lang w:eastAsia="zh-CN"/>
        </w:rPr>
        <w:t>需方</w:t>
      </w:r>
      <w:r>
        <w:rPr>
          <w:rFonts w:hint="eastAsia" w:ascii="宋体" w:hAnsi="宋体" w:eastAsia="宋体" w:cs="宋体"/>
          <w:color w:val="000000"/>
          <w:sz w:val="22"/>
          <w:szCs w:val="22"/>
        </w:rPr>
        <w:t>系统出现故障时，</w:t>
      </w:r>
      <w:r>
        <w:rPr>
          <w:rFonts w:hint="eastAsia" w:ascii="宋体" w:hAnsi="宋体" w:eastAsia="宋体" w:cs="宋体"/>
          <w:color w:val="000000"/>
          <w:sz w:val="22"/>
          <w:szCs w:val="22"/>
          <w:lang w:eastAsia="zh-CN"/>
        </w:rPr>
        <w:t>供方</w:t>
      </w:r>
      <w:r>
        <w:rPr>
          <w:rFonts w:hint="eastAsia" w:ascii="宋体" w:hAnsi="宋体" w:eastAsia="宋体" w:cs="宋体"/>
          <w:color w:val="000000"/>
          <w:sz w:val="22"/>
          <w:szCs w:val="22"/>
        </w:rPr>
        <w:t>通过电话、远程访问等方式进行系统故障的处理、技术支持等工作。</w:t>
      </w:r>
    </w:p>
    <w:p w14:paraId="6B95F3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="宋体" w:hAnsi="宋体" w:eastAsia="宋体" w:cs="宋体"/>
          <w:color w:val="000000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lang w:val="en-US" w:eastAsia="zh-CN"/>
        </w:rPr>
        <w:t xml:space="preserve">3.2 </w:t>
      </w:r>
      <w:r>
        <w:rPr>
          <w:rFonts w:hint="eastAsia" w:ascii="宋体" w:hAnsi="宋体" w:eastAsia="宋体" w:cs="宋体"/>
          <w:color w:val="000000"/>
          <w:sz w:val="22"/>
          <w:szCs w:val="22"/>
        </w:rPr>
        <w:t>按</w:t>
      </w:r>
      <w:r>
        <w:rPr>
          <w:rFonts w:hint="eastAsia" w:ascii="宋体" w:hAnsi="宋体" w:eastAsia="宋体" w:cs="宋体"/>
          <w:color w:val="000000"/>
          <w:sz w:val="22"/>
          <w:szCs w:val="22"/>
          <w:lang w:val="en-US" w:eastAsia="zh-CN"/>
        </w:rPr>
        <w:t>季度进行现场</w:t>
      </w:r>
      <w:r>
        <w:rPr>
          <w:rFonts w:hint="eastAsia" w:ascii="宋体" w:hAnsi="宋体" w:eastAsia="宋体" w:cs="宋体"/>
          <w:color w:val="000000"/>
          <w:sz w:val="22"/>
          <w:szCs w:val="22"/>
        </w:rPr>
        <w:t>巡检并</w:t>
      </w:r>
      <w:r>
        <w:rPr>
          <w:rFonts w:hint="eastAsia" w:ascii="宋体" w:hAnsi="宋体" w:eastAsia="宋体" w:cs="宋体"/>
          <w:color w:val="000000"/>
          <w:sz w:val="22"/>
          <w:szCs w:val="22"/>
          <w:lang w:eastAsia="zh-CN"/>
        </w:rPr>
        <w:t>出具巡检记录</w:t>
      </w:r>
      <w:r>
        <w:rPr>
          <w:rFonts w:hint="eastAsia" w:ascii="宋体" w:hAnsi="宋体" w:eastAsia="宋体" w:cs="宋体"/>
          <w:color w:val="000000"/>
          <w:sz w:val="22"/>
          <w:szCs w:val="22"/>
        </w:rPr>
        <w:t>，即</w:t>
      </w:r>
      <w:r>
        <w:rPr>
          <w:rFonts w:hint="eastAsia" w:ascii="宋体" w:hAnsi="宋体" w:eastAsia="宋体" w:cs="宋体"/>
          <w:color w:val="000000"/>
          <w:sz w:val="22"/>
          <w:szCs w:val="22"/>
          <w:lang w:eastAsia="zh-CN"/>
        </w:rPr>
        <w:t>运维</w:t>
      </w:r>
      <w:r>
        <w:rPr>
          <w:rFonts w:hint="eastAsia" w:ascii="宋体" w:hAnsi="宋体" w:eastAsia="宋体" w:cs="宋体"/>
          <w:color w:val="000000"/>
          <w:sz w:val="22"/>
          <w:szCs w:val="22"/>
        </w:rPr>
        <w:t>期限内，</w:t>
      </w:r>
      <w:r>
        <w:rPr>
          <w:rFonts w:hint="eastAsia" w:ascii="宋体" w:hAnsi="宋体" w:eastAsia="宋体" w:cs="宋体"/>
          <w:color w:val="000000"/>
          <w:sz w:val="22"/>
          <w:szCs w:val="22"/>
          <w:lang w:eastAsia="zh-CN"/>
        </w:rPr>
        <w:t>供方</w:t>
      </w:r>
      <w:r>
        <w:rPr>
          <w:rFonts w:hint="eastAsia" w:ascii="宋体" w:hAnsi="宋体" w:eastAsia="宋体" w:cs="宋体"/>
          <w:color w:val="000000"/>
          <w:sz w:val="22"/>
          <w:szCs w:val="22"/>
          <w:lang w:val="en-US" w:eastAsia="zh-CN"/>
        </w:rPr>
        <w:t>每季度</w:t>
      </w:r>
      <w:r>
        <w:rPr>
          <w:rFonts w:hint="eastAsia" w:ascii="宋体" w:hAnsi="宋体" w:eastAsia="宋体" w:cs="宋体"/>
          <w:color w:val="000000"/>
          <w:sz w:val="22"/>
          <w:szCs w:val="22"/>
        </w:rPr>
        <w:t>指定专业技术人员对</w:t>
      </w:r>
      <w:r>
        <w:rPr>
          <w:rFonts w:hint="eastAsia" w:ascii="宋体" w:hAnsi="宋体" w:eastAsia="宋体" w:cs="宋体"/>
          <w:color w:val="000000"/>
          <w:sz w:val="22"/>
          <w:szCs w:val="22"/>
          <w:lang w:val="en-US" w:eastAsia="zh-CN"/>
        </w:rPr>
        <w:t>系统的软、硬件，运行环境等进行</w:t>
      </w:r>
      <w:r>
        <w:rPr>
          <w:rFonts w:hint="eastAsia" w:ascii="宋体" w:hAnsi="宋体" w:eastAsia="宋体" w:cs="宋体"/>
          <w:color w:val="000000"/>
          <w:sz w:val="22"/>
          <w:szCs w:val="22"/>
        </w:rPr>
        <w:t>全面检查</w:t>
      </w:r>
      <w:r>
        <w:rPr>
          <w:rFonts w:hint="eastAsia" w:ascii="宋体" w:hAnsi="宋体" w:eastAsia="宋体" w:cs="宋体"/>
          <w:color w:val="000000"/>
          <w:sz w:val="22"/>
          <w:szCs w:val="22"/>
          <w:lang w:eastAsia="zh-CN"/>
        </w:rPr>
        <w:t>及</w:t>
      </w:r>
      <w:r>
        <w:rPr>
          <w:rFonts w:hint="eastAsia" w:ascii="宋体" w:hAnsi="宋体" w:eastAsia="宋体" w:cs="宋体"/>
          <w:color w:val="000000"/>
          <w:sz w:val="22"/>
          <w:szCs w:val="22"/>
        </w:rPr>
        <w:t>优化，同时做好系统运行情况记录。对可能出现的故障提出解决预案及系统功能改进等方面的技术</w:t>
      </w:r>
      <w:r>
        <w:rPr>
          <w:rFonts w:hint="eastAsia" w:ascii="宋体" w:hAnsi="宋体" w:eastAsia="宋体" w:cs="宋体"/>
          <w:color w:val="000000"/>
          <w:sz w:val="22"/>
          <w:szCs w:val="22"/>
          <w:lang w:eastAsia="zh-CN"/>
        </w:rPr>
        <w:t>支撑</w:t>
      </w:r>
      <w:r>
        <w:rPr>
          <w:rFonts w:hint="eastAsia" w:ascii="宋体" w:hAnsi="宋体" w:eastAsia="宋体" w:cs="宋体"/>
          <w:color w:val="000000"/>
          <w:sz w:val="22"/>
          <w:szCs w:val="22"/>
        </w:rPr>
        <w:t>工作，在现场对</w:t>
      </w:r>
      <w:r>
        <w:rPr>
          <w:rFonts w:hint="eastAsia" w:ascii="宋体" w:hAnsi="宋体" w:eastAsia="宋体" w:cs="宋体"/>
          <w:color w:val="000000"/>
          <w:sz w:val="22"/>
          <w:szCs w:val="22"/>
          <w:lang w:eastAsia="zh-CN"/>
        </w:rPr>
        <w:t>需方</w:t>
      </w:r>
      <w:r>
        <w:rPr>
          <w:rFonts w:hint="eastAsia" w:ascii="宋体" w:hAnsi="宋体" w:eastAsia="宋体" w:cs="宋体"/>
          <w:color w:val="000000"/>
          <w:sz w:val="22"/>
          <w:szCs w:val="22"/>
        </w:rPr>
        <w:t>人员进行系统运行管理、日常维护等方面的培训。</w:t>
      </w:r>
      <w:r>
        <w:rPr>
          <w:rFonts w:hint="eastAsia" w:ascii="宋体" w:hAnsi="宋体" w:eastAsia="宋体" w:cs="宋体"/>
          <w:color w:val="000000"/>
          <w:sz w:val="22"/>
          <w:szCs w:val="22"/>
          <w:lang w:val="en-US" w:eastAsia="zh-CN"/>
        </w:rPr>
        <w:t>在次月10日前将有使用部门签字的巡检记录提交至信息中心。</w:t>
      </w:r>
    </w:p>
    <w:p w14:paraId="0B6D3B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="宋体" w:hAnsi="宋体" w:eastAsia="宋体" w:cs="宋体"/>
          <w:color w:val="000000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lang w:val="en-US" w:eastAsia="zh-CN"/>
        </w:rPr>
        <w:t>3.3 运维期内，对于需方提出的任何运维服务，供方人员需严格填写运维服务记录单，并由双方签字认可。</w:t>
      </w:r>
    </w:p>
    <w:p w14:paraId="0623DE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lang w:val="en-US" w:eastAsia="zh-CN"/>
        </w:rPr>
        <w:t>3.4 供方为需方提供电话技术支持服务要求为7×24小时。</w:t>
      </w:r>
    </w:p>
    <w:bookmarkEnd w:id="0"/>
    <w:bookmarkEnd w:id="1"/>
    <w:bookmarkEnd w:id="2"/>
    <w:bookmarkEnd w:id="3"/>
    <w:bookmarkEnd w:id="4"/>
    <w:bookmarkEnd w:id="5"/>
    <w:bookmarkEnd w:id="6"/>
    <w:bookmarkEnd w:id="7"/>
    <w:p w14:paraId="010B6050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firstLine="420" w:firstLineChars="0"/>
        <w:textAlignment w:val="auto"/>
        <w:rPr>
          <w:rFonts w:hint="eastAsia" w:ascii="宋体" w:hAnsi="宋体" w:eastAsia="宋体" w:cs="宋体"/>
          <w:b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商务要求</w:t>
      </w:r>
    </w:p>
    <w:p w14:paraId="6C1AB2CD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textAlignment w:val="auto"/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t>特定资格：无。</w:t>
      </w:r>
    </w:p>
    <w:p w14:paraId="188133D9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textAlignment w:val="auto"/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t>服务期限：</w:t>
      </w:r>
      <w:r>
        <w:rPr>
          <w:rFonts w:hint="eastAsia" w:ascii="宋体" w:hAnsi="宋体" w:eastAsia="宋体" w:cs="宋体"/>
          <w:b/>
          <w:bCs/>
          <w:color w:val="auto"/>
          <w:sz w:val="22"/>
          <w:szCs w:val="22"/>
          <w:lang w:val="en-US" w:eastAsia="zh-CN"/>
        </w:rPr>
        <w:t>壹</w:t>
      </w:r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t>年。</w:t>
      </w:r>
    </w:p>
    <w:p w14:paraId="0FC58E9C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textAlignment w:val="auto"/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t>付款方式：</w:t>
      </w:r>
    </w:p>
    <w:p w14:paraId="3D91DF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8" w:after="68" w:line="360" w:lineRule="auto"/>
        <w:ind w:left="210" w:leftChars="100" w:firstLine="440" w:firstLineChars="200"/>
        <w:textAlignment w:val="auto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双方签订合同后，如中标单位服务符合合同要求，确认合同条款及服务承诺、培训、维修、巡检等执行无误时，需方按年对供方的运维工作完成情况进行验收。通过验收后，需方在收到供方开具的国家正规发票后，按年一次性予以支付当年运维服务费。</w:t>
      </w:r>
    </w:p>
    <w:p w14:paraId="50C5AA32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textAlignment w:val="auto"/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t xml:space="preserve">违约责任： </w:t>
      </w:r>
    </w:p>
    <w:p w14:paraId="37626D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8" w:after="68" w:line="360" w:lineRule="auto"/>
        <w:ind w:left="210" w:leftChars="100" w:firstLine="440" w:firstLineChars="200"/>
        <w:textAlignment w:val="auto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（1）供方提供服务不符合合同约定，</w:t>
      </w:r>
      <w:r>
        <w:rPr>
          <w:rFonts w:hint="eastAsia" w:ascii="宋体" w:hAnsi="宋体" w:eastAsia="宋体" w:cs="宋体"/>
          <w:sz w:val="22"/>
          <w:szCs w:val="22"/>
        </w:rPr>
        <w:t>造成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需方</w:t>
      </w:r>
      <w:r>
        <w:rPr>
          <w:rFonts w:hint="eastAsia" w:ascii="宋体" w:hAnsi="宋体" w:eastAsia="宋体" w:cs="宋体"/>
          <w:sz w:val="22"/>
          <w:szCs w:val="22"/>
        </w:rPr>
        <w:t>无法正常使用合同约定的系统软件，应向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需方</w:t>
      </w:r>
      <w:r>
        <w:rPr>
          <w:rFonts w:hint="eastAsia" w:ascii="宋体" w:hAnsi="宋体" w:eastAsia="宋体" w:cs="宋体"/>
          <w:sz w:val="22"/>
          <w:szCs w:val="22"/>
        </w:rPr>
        <w:t>支付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当年</w:t>
      </w:r>
      <w:r>
        <w:rPr>
          <w:rFonts w:hint="eastAsia" w:ascii="宋体" w:hAnsi="宋体" w:eastAsia="宋体" w:cs="宋体"/>
          <w:sz w:val="22"/>
          <w:szCs w:val="22"/>
        </w:rPr>
        <w:t>运维服务费的5‰作为违约金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。</w:t>
      </w:r>
    </w:p>
    <w:p w14:paraId="1D1195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8" w:after="68" w:line="360" w:lineRule="auto"/>
        <w:ind w:left="210" w:leftChars="100" w:firstLine="440" w:firstLineChars="200"/>
        <w:textAlignment w:val="auto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（2）供方未按照合同约定完成定期巡检服务，应向需方支付当年运维服务费的20%（百分之二十）作为违约金。   </w:t>
      </w:r>
    </w:p>
    <w:p w14:paraId="5768D2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8" w:after="68" w:line="360" w:lineRule="auto"/>
        <w:ind w:left="210" w:leftChars="100" w:firstLine="440" w:firstLineChars="200"/>
        <w:textAlignment w:val="auto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（3）供方未在规定期间完成呼叫响应服务或需求服务，每次应向需方支付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当年运维服务费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的3‰（千分之三）作为违约金。</w:t>
      </w:r>
    </w:p>
    <w:p w14:paraId="2229A35A"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97" w:right="1406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715D08">
    <w:pPr>
      <w:pStyle w:val="12"/>
      <w:framePr w:h="313" w:hRule="exact" w:wrap="around" w:vAnchor="text" w:hAnchor="page" w:x="5941" w:y="373"/>
      <w:rPr>
        <w:rStyle w:val="23"/>
      </w:rPr>
    </w:pPr>
    <w:r>
      <w:fldChar w:fldCharType="begin"/>
    </w:r>
    <w:r>
      <w:rPr>
        <w:rStyle w:val="23"/>
      </w:rPr>
      <w:instrText xml:space="preserve">PAGE  </w:instrText>
    </w:r>
    <w:r>
      <w:fldChar w:fldCharType="separate"/>
    </w:r>
    <w:r>
      <w:rPr>
        <w:rStyle w:val="23"/>
      </w:rPr>
      <w:t>24</w:t>
    </w:r>
    <w:r>
      <w:fldChar w:fldCharType="end"/>
    </w:r>
  </w:p>
  <w:p w14:paraId="328607D4">
    <w:pPr>
      <w:pStyle w:val="5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1F62B0">
    <w:pPr>
      <w:pStyle w:val="11"/>
      <w:bidi w:val="0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D1DE57"/>
    <w:multiLevelType w:val="multilevel"/>
    <w:tmpl w:val="86D1DE57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abstractNum w:abstractNumId="1">
    <w:nsid w:val="DEEE91CC"/>
    <w:multiLevelType w:val="singleLevel"/>
    <w:tmpl w:val="DEEE91CC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0000000D"/>
    <w:multiLevelType w:val="multilevel"/>
    <w:tmpl w:val="0000000D"/>
    <w:lvl w:ilvl="0" w:tentative="0">
      <w:start w:val="1"/>
      <w:numFmt w:val="decimal"/>
      <w:suff w:val="nothing"/>
      <w:lvlText w:val="第%1章 "/>
      <w:lvlJc w:val="left"/>
      <w:pPr>
        <w:ind w:left="0" w:firstLine="0"/>
      </w:pPr>
      <w:rPr>
        <w:rFonts w:hint="eastAsia" w:ascii="方正大标宋简体" w:eastAsia="方正大标宋简体"/>
        <w:b w:val="0"/>
        <w:i w:val="0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entative="0">
      <w:start w:val="1"/>
      <w:numFmt w:val="decimal"/>
      <w:suff w:val="nothing"/>
      <w:lvlText w:val="    %2、"/>
      <w:lvlJc w:val="left"/>
      <w:pPr>
        <w:ind w:left="0" w:firstLine="0"/>
      </w:pPr>
      <w:rPr>
        <w:rFonts w:hint="eastAsia" w:ascii="黑体" w:eastAsia="黑体"/>
        <w:b/>
        <w:i w:val="0"/>
        <w:sz w:val="30"/>
        <w:szCs w:val="30"/>
      </w:rPr>
    </w:lvl>
    <w:lvl w:ilvl="2" w:tentative="0">
      <w:start w:val="1"/>
      <w:numFmt w:val="decimal"/>
      <w:suff w:val="nothing"/>
      <w:lvlText w:val="    %2.%3 "/>
      <w:lvlJc w:val="left"/>
      <w:pPr>
        <w:ind w:left="1844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3" w:tentative="0">
      <w:start w:val="1"/>
      <w:numFmt w:val="decimal"/>
      <w:pStyle w:val="6"/>
      <w:suff w:val="nothing"/>
      <w:lvlText w:val="    %2.%3.%4  "/>
      <w:lvlJc w:val="left"/>
      <w:pPr>
        <w:ind w:left="0" w:firstLine="0"/>
      </w:pPr>
      <w:rPr>
        <w:rFonts w:hint="eastAsia" w:ascii="仿宋_GB2312" w:eastAsia="仿宋_GB2312"/>
        <w:b/>
        <w:i w:val="0"/>
        <w:sz w:val="28"/>
        <w:szCs w:val="28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3">
    <w:nsid w:val="00000033"/>
    <w:multiLevelType w:val="multilevel"/>
    <w:tmpl w:val="00000033"/>
    <w:lvl w:ilvl="0" w:tentative="0">
      <w:start w:val="1"/>
      <w:numFmt w:val="decimal"/>
      <w:lvlText w:val="%1)"/>
      <w:lvlJc w:val="left"/>
      <w:pPr>
        <w:tabs>
          <w:tab w:val="left" w:pos="960"/>
        </w:tabs>
        <w:ind w:left="960" w:hanging="420"/>
      </w:pPr>
    </w:lvl>
    <w:lvl w:ilvl="1" w:tentative="0">
      <w:start w:val="1"/>
      <w:numFmt w:val="decimal"/>
      <w:pStyle w:val="3"/>
      <w:lvlText w:val="%2."/>
      <w:lvlJc w:val="left"/>
      <w:pPr>
        <w:tabs>
          <w:tab w:val="left" w:pos="1320"/>
        </w:tabs>
        <w:ind w:left="1320" w:hanging="360"/>
      </w:pPr>
      <w:rPr>
        <w:rFonts w:hint="default"/>
      </w:rPr>
    </w:lvl>
    <w:lvl w:ilvl="2" w:tentative="0">
      <w:start w:val="6"/>
      <w:numFmt w:val="decimal"/>
      <w:lvlText w:val="%3．"/>
      <w:lvlJc w:val="left"/>
      <w:pPr>
        <w:tabs>
          <w:tab w:val="left" w:pos="1740"/>
        </w:tabs>
        <w:ind w:left="1740" w:hanging="360"/>
      </w:pPr>
      <w:rPr>
        <w:rFonts w:hint="default"/>
      </w:rPr>
    </w:lvl>
    <w:lvl w:ilvl="3" w:tentative="0">
      <w:start w:val="1"/>
      <w:numFmt w:val="decimal"/>
      <w:lvlText w:val="%4、"/>
      <w:lvlJc w:val="left"/>
      <w:pPr>
        <w:tabs>
          <w:tab w:val="left" w:pos="2520"/>
        </w:tabs>
        <w:ind w:left="2520" w:hanging="720"/>
      </w:pPr>
      <w:rPr>
        <w:rFonts w:hint="default" w:eastAsia="黑体"/>
      </w:rPr>
    </w:lvl>
    <w:lvl w:ilvl="4" w:tentative="0">
      <w:start w:val="1"/>
      <w:numFmt w:val="lowerLetter"/>
      <w:lvlText w:val="%5)"/>
      <w:lvlJc w:val="left"/>
      <w:pPr>
        <w:tabs>
          <w:tab w:val="left" w:pos="2640"/>
        </w:tabs>
        <w:ind w:left="26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60"/>
        </w:tabs>
        <w:ind w:left="30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80"/>
        </w:tabs>
        <w:ind w:left="34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00"/>
        </w:tabs>
        <w:ind w:left="39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20"/>
        </w:tabs>
        <w:ind w:left="4320" w:hanging="420"/>
      </w:pPr>
    </w:lvl>
  </w:abstractNum>
  <w:abstractNum w:abstractNumId="4">
    <w:nsid w:val="544ED3CB"/>
    <w:multiLevelType w:val="singleLevel"/>
    <w:tmpl w:val="544ED3CB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zMWUxZDI4NWUwZDc1MDA5NDczNGIzM2UyZGUzNjcifQ=="/>
  </w:docVars>
  <w:rsids>
    <w:rsidRoot w:val="00A64542"/>
    <w:rsid w:val="001025E8"/>
    <w:rsid w:val="002122A8"/>
    <w:rsid w:val="00321813"/>
    <w:rsid w:val="003C0068"/>
    <w:rsid w:val="0050770B"/>
    <w:rsid w:val="00787EF9"/>
    <w:rsid w:val="009F7D31"/>
    <w:rsid w:val="00A64542"/>
    <w:rsid w:val="00BE27CC"/>
    <w:rsid w:val="00C0214D"/>
    <w:rsid w:val="00D46B6E"/>
    <w:rsid w:val="00F70A4E"/>
    <w:rsid w:val="051F00E1"/>
    <w:rsid w:val="0599461D"/>
    <w:rsid w:val="06064F20"/>
    <w:rsid w:val="061728A1"/>
    <w:rsid w:val="06DF0342"/>
    <w:rsid w:val="081D4AB5"/>
    <w:rsid w:val="08612389"/>
    <w:rsid w:val="091A7DE1"/>
    <w:rsid w:val="0AFE1CAE"/>
    <w:rsid w:val="0C3B65AE"/>
    <w:rsid w:val="0CF62DFF"/>
    <w:rsid w:val="0D3970EE"/>
    <w:rsid w:val="0DB177E0"/>
    <w:rsid w:val="0DCB589F"/>
    <w:rsid w:val="0DDB1EC9"/>
    <w:rsid w:val="0E271223"/>
    <w:rsid w:val="0E2C514F"/>
    <w:rsid w:val="0F8120BC"/>
    <w:rsid w:val="0F860209"/>
    <w:rsid w:val="10145C31"/>
    <w:rsid w:val="102368B0"/>
    <w:rsid w:val="108860D4"/>
    <w:rsid w:val="12392489"/>
    <w:rsid w:val="136A3702"/>
    <w:rsid w:val="13A40CAB"/>
    <w:rsid w:val="151D1073"/>
    <w:rsid w:val="16141638"/>
    <w:rsid w:val="16625F01"/>
    <w:rsid w:val="169C639C"/>
    <w:rsid w:val="16DB7F7D"/>
    <w:rsid w:val="1741124E"/>
    <w:rsid w:val="17905FFB"/>
    <w:rsid w:val="191A5904"/>
    <w:rsid w:val="1B715038"/>
    <w:rsid w:val="1C83107B"/>
    <w:rsid w:val="1E610302"/>
    <w:rsid w:val="1EB2266E"/>
    <w:rsid w:val="20327DD6"/>
    <w:rsid w:val="20C4580A"/>
    <w:rsid w:val="21F60A45"/>
    <w:rsid w:val="2238092F"/>
    <w:rsid w:val="230E1BE0"/>
    <w:rsid w:val="238B3C47"/>
    <w:rsid w:val="24005213"/>
    <w:rsid w:val="2486064D"/>
    <w:rsid w:val="24C456C9"/>
    <w:rsid w:val="254E1737"/>
    <w:rsid w:val="26852E87"/>
    <w:rsid w:val="26AC7774"/>
    <w:rsid w:val="26BB6022"/>
    <w:rsid w:val="282525ED"/>
    <w:rsid w:val="28677399"/>
    <w:rsid w:val="28CA13F8"/>
    <w:rsid w:val="2B1668DA"/>
    <w:rsid w:val="2C00452F"/>
    <w:rsid w:val="2C8C73B1"/>
    <w:rsid w:val="2D8C4FDE"/>
    <w:rsid w:val="2E2E6DCD"/>
    <w:rsid w:val="30245C31"/>
    <w:rsid w:val="30B0295B"/>
    <w:rsid w:val="347148D3"/>
    <w:rsid w:val="348B25B2"/>
    <w:rsid w:val="350356A7"/>
    <w:rsid w:val="36BD22BD"/>
    <w:rsid w:val="37551BF4"/>
    <w:rsid w:val="37D934B3"/>
    <w:rsid w:val="38CB0D21"/>
    <w:rsid w:val="3A2B6386"/>
    <w:rsid w:val="3C597BAD"/>
    <w:rsid w:val="3C8D4884"/>
    <w:rsid w:val="3D955400"/>
    <w:rsid w:val="3DE05FE2"/>
    <w:rsid w:val="3E467F15"/>
    <w:rsid w:val="3F235B23"/>
    <w:rsid w:val="3F821E9A"/>
    <w:rsid w:val="3F941B1D"/>
    <w:rsid w:val="402173F7"/>
    <w:rsid w:val="431A35CF"/>
    <w:rsid w:val="44090EB3"/>
    <w:rsid w:val="44AA4BB6"/>
    <w:rsid w:val="44B87179"/>
    <w:rsid w:val="453871A0"/>
    <w:rsid w:val="46336C3B"/>
    <w:rsid w:val="464B37AD"/>
    <w:rsid w:val="476067BD"/>
    <w:rsid w:val="47950C08"/>
    <w:rsid w:val="48305E49"/>
    <w:rsid w:val="487979E9"/>
    <w:rsid w:val="48CC2178"/>
    <w:rsid w:val="491C44B1"/>
    <w:rsid w:val="49C0092E"/>
    <w:rsid w:val="49D86FD2"/>
    <w:rsid w:val="4BC96511"/>
    <w:rsid w:val="4D380603"/>
    <w:rsid w:val="4DC1731C"/>
    <w:rsid w:val="4DCC02C5"/>
    <w:rsid w:val="4E8A1B7D"/>
    <w:rsid w:val="4F0D32D1"/>
    <w:rsid w:val="4F104A54"/>
    <w:rsid w:val="5269516B"/>
    <w:rsid w:val="54093B30"/>
    <w:rsid w:val="54831056"/>
    <w:rsid w:val="552B7359"/>
    <w:rsid w:val="564D0522"/>
    <w:rsid w:val="568850AA"/>
    <w:rsid w:val="59D44ABA"/>
    <w:rsid w:val="5A6A4F4A"/>
    <w:rsid w:val="5AA70A4F"/>
    <w:rsid w:val="5AEB0587"/>
    <w:rsid w:val="5B086CF4"/>
    <w:rsid w:val="5B0C7F15"/>
    <w:rsid w:val="5B110A00"/>
    <w:rsid w:val="5C270818"/>
    <w:rsid w:val="5C66680A"/>
    <w:rsid w:val="5DC73958"/>
    <w:rsid w:val="5EB63EB8"/>
    <w:rsid w:val="5EEC72E9"/>
    <w:rsid w:val="60A049F1"/>
    <w:rsid w:val="611543CE"/>
    <w:rsid w:val="61A6316C"/>
    <w:rsid w:val="61E20ACB"/>
    <w:rsid w:val="623A0D7A"/>
    <w:rsid w:val="63044BA0"/>
    <w:rsid w:val="636B2AC1"/>
    <w:rsid w:val="643070C4"/>
    <w:rsid w:val="651A47AE"/>
    <w:rsid w:val="662C6830"/>
    <w:rsid w:val="66794318"/>
    <w:rsid w:val="66BD5021"/>
    <w:rsid w:val="66CF494E"/>
    <w:rsid w:val="6AB864C2"/>
    <w:rsid w:val="6B245BBF"/>
    <w:rsid w:val="6B5C1C7B"/>
    <w:rsid w:val="6CD50D4F"/>
    <w:rsid w:val="6CF91A86"/>
    <w:rsid w:val="6D527B5B"/>
    <w:rsid w:val="6E031CDC"/>
    <w:rsid w:val="6E6B17D2"/>
    <w:rsid w:val="6ED5389E"/>
    <w:rsid w:val="6F7F3AFC"/>
    <w:rsid w:val="6FE567C2"/>
    <w:rsid w:val="70443BE2"/>
    <w:rsid w:val="70B54E6C"/>
    <w:rsid w:val="71123A97"/>
    <w:rsid w:val="71BA10A6"/>
    <w:rsid w:val="71F85C08"/>
    <w:rsid w:val="73780EBB"/>
    <w:rsid w:val="739666FD"/>
    <w:rsid w:val="75C626F3"/>
    <w:rsid w:val="776B36AB"/>
    <w:rsid w:val="77B914D8"/>
    <w:rsid w:val="7931708B"/>
    <w:rsid w:val="7A803B81"/>
    <w:rsid w:val="7E053E0E"/>
    <w:rsid w:val="7E191CAF"/>
    <w:rsid w:val="7E1C7B8D"/>
    <w:rsid w:val="7E9C2DAC"/>
    <w:rsid w:val="7F65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8"/>
    <w:autoRedefine/>
    <w:qFormat/>
    <w:uiPriority w:val="0"/>
    <w:pPr>
      <w:keepNext/>
      <w:keepLines/>
      <w:numPr>
        <w:ilvl w:val="1"/>
        <w:numId w:val="1"/>
      </w:numPr>
      <w:tabs>
        <w:tab w:val="left" w:pos="840"/>
      </w:tabs>
      <w:spacing w:before="260" w:after="260" w:line="416" w:lineRule="auto"/>
      <w:jc w:val="center"/>
      <w:outlineLvl w:val="1"/>
    </w:pPr>
    <w:rPr>
      <w:rFonts w:ascii="Arial" w:hAnsi="Arial" w:eastAsia="黑体"/>
      <w:b/>
      <w:sz w:val="32"/>
      <w:szCs w:val="20"/>
    </w:rPr>
  </w:style>
  <w:style w:type="paragraph" w:styleId="4">
    <w:name w:val="heading 3"/>
    <w:basedOn w:val="1"/>
    <w:next w:val="5"/>
    <w:link w:val="39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  <w:szCs w:val="20"/>
    </w:rPr>
  </w:style>
  <w:style w:type="paragraph" w:styleId="6">
    <w:name w:val="heading 4"/>
    <w:basedOn w:val="1"/>
    <w:next w:val="1"/>
    <w:autoRedefine/>
    <w:qFormat/>
    <w:uiPriority w:val="0"/>
    <w:pPr>
      <w:keepNext/>
      <w:keepLines/>
      <w:numPr>
        <w:ilvl w:val="3"/>
        <w:numId w:val="2"/>
      </w:numPr>
      <w:spacing w:before="280" w:beforeLines="0" w:after="290" w:afterLines="0" w:line="376" w:lineRule="auto"/>
      <w:outlineLvl w:val="3"/>
    </w:pPr>
    <w:rPr>
      <w:rFonts w:ascii="Arial" w:hAnsi="Arial" w:eastAsia="黑体"/>
      <w:b/>
      <w:bCs/>
      <w:kern w:val="0"/>
    </w:rPr>
  </w:style>
  <w:style w:type="character" w:default="1" w:styleId="21">
    <w:name w:val="Default Paragraph Font"/>
    <w:autoRedefine/>
    <w:semiHidden/>
    <w:unhideWhenUsed/>
    <w:qFormat/>
    <w:uiPriority w:val="1"/>
  </w:style>
  <w:style w:type="table" w:default="1" w:styleId="1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link w:val="43"/>
    <w:autoRedefine/>
    <w:qFormat/>
    <w:uiPriority w:val="0"/>
    <w:pPr>
      <w:ind w:firstLine="420"/>
    </w:pPr>
    <w:rPr>
      <w:rFonts w:asciiTheme="minorHAnsi" w:hAnsiTheme="minorHAnsi" w:eastAsiaTheme="minorEastAsia" w:cstheme="minorBidi"/>
      <w:szCs w:val="22"/>
    </w:rPr>
  </w:style>
  <w:style w:type="paragraph" w:styleId="7">
    <w:name w:val="annotation text"/>
    <w:basedOn w:val="1"/>
    <w:autoRedefine/>
    <w:qFormat/>
    <w:uiPriority w:val="0"/>
    <w:pPr>
      <w:jc w:val="left"/>
    </w:pPr>
  </w:style>
  <w:style w:type="paragraph" w:styleId="8">
    <w:name w:val="Body Text"/>
    <w:basedOn w:val="1"/>
    <w:link w:val="47"/>
    <w:autoRedefine/>
    <w:qFormat/>
    <w:uiPriority w:val="0"/>
    <w:pPr>
      <w:spacing w:after="120"/>
    </w:pPr>
    <w:rPr>
      <w:rFonts w:asciiTheme="minorHAnsi" w:hAnsiTheme="minorHAnsi" w:eastAsiaTheme="minorEastAsia" w:cstheme="minorBidi"/>
    </w:rPr>
  </w:style>
  <w:style w:type="paragraph" w:styleId="9">
    <w:name w:val="Body Text Indent"/>
    <w:basedOn w:val="1"/>
    <w:next w:val="10"/>
    <w:autoRedefine/>
    <w:qFormat/>
    <w:uiPriority w:val="0"/>
    <w:pPr>
      <w:widowControl/>
      <w:spacing w:after="120" w:line="240" w:lineRule="auto"/>
      <w:ind w:left="200" w:leftChars="200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10">
    <w:name w:val="envelope return"/>
    <w:basedOn w:val="1"/>
    <w:unhideWhenUsed/>
    <w:qFormat/>
    <w:uiPriority w:val="99"/>
    <w:rPr>
      <w:rFonts w:ascii="Arial" w:hAnsi="Arial"/>
    </w:rPr>
  </w:style>
  <w:style w:type="paragraph" w:styleId="11">
    <w:name w:val="Plain Text"/>
    <w:basedOn w:val="1"/>
    <w:link w:val="50"/>
    <w:autoRedefine/>
    <w:qFormat/>
    <w:uiPriority w:val="0"/>
    <w:rPr>
      <w:rFonts w:ascii="宋体" w:hAnsi="Courier New" w:cs="Courier New"/>
      <w:szCs w:val="21"/>
    </w:rPr>
  </w:style>
  <w:style w:type="paragraph" w:styleId="12">
    <w:name w:val="footer"/>
    <w:basedOn w:val="1"/>
    <w:link w:val="4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paragraph" w:styleId="13">
    <w:name w:val="header"/>
    <w:basedOn w:val="1"/>
    <w:link w:val="4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4">
    <w:name w:val="Body Text Indent 3"/>
    <w:basedOn w:val="1"/>
    <w:link w:val="51"/>
    <w:autoRedefine/>
    <w:qFormat/>
    <w:uiPriority w:val="0"/>
    <w:pPr>
      <w:spacing w:after="120"/>
      <w:ind w:left="420" w:leftChars="200"/>
    </w:pPr>
    <w:rPr>
      <w:rFonts w:asciiTheme="minorHAnsi" w:hAnsiTheme="minorHAnsi" w:eastAsiaTheme="minorEastAsia" w:cstheme="minorBidi"/>
      <w:sz w:val="16"/>
      <w:szCs w:val="16"/>
    </w:rPr>
  </w:style>
  <w:style w:type="paragraph" w:styleId="15">
    <w:name w:val="Normal (Web)"/>
    <w:basedOn w:val="1"/>
    <w:autoRedefine/>
    <w:qFormat/>
    <w:uiPriority w:val="0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Times New Roman"/>
      <w:kern w:val="0"/>
      <w:sz w:val="24"/>
      <w:szCs w:val="20"/>
      <w:lang w:val="en-US" w:eastAsia="zh-CN" w:bidi="ar"/>
    </w:rPr>
  </w:style>
  <w:style w:type="paragraph" w:styleId="16">
    <w:name w:val="annotation subject"/>
    <w:basedOn w:val="7"/>
    <w:next w:val="1"/>
    <w:autoRedefine/>
    <w:unhideWhenUsed/>
    <w:qFormat/>
    <w:uiPriority w:val="99"/>
    <w:rPr>
      <w:b/>
      <w:bCs/>
    </w:rPr>
  </w:style>
  <w:style w:type="paragraph" w:styleId="17">
    <w:name w:val="Body Text First Indent"/>
    <w:basedOn w:val="8"/>
    <w:next w:val="1"/>
    <w:link w:val="52"/>
    <w:autoRedefine/>
    <w:qFormat/>
    <w:uiPriority w:val="0"/>
    <w:pPr>
      <w:ind w:firstLine="420"/>
    </w:pPr>
    <w:rPr>
      <w:rFonts w:eastAsia="楷体_GB2312"/>
      <w:sz w:val="32"/>
    </w:rPr>
  </w:style>
  <w:style w:type="paragraph" w:styleId="18">
    <w:name w:val="Body Text First Indent 2"/>
    <w:basedOn w:val="9"/>
    <w:next w:val="1"/>
    <w:autoRedefine/>
    <w:qFormat/>
    <w:uiPriority w:val="0"/>
    <w:pPr>
      <w:ind w:firstLine="420" w:firstLineChars="200"/>
    </w:pPr>
  </w:style>
  <w:style w:type="table" w:styleId="20">
    <w:name w:val="Table Grid"/>
    <w:basedOn w:val="19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Strong"/>
    <w:basedOn w:val="21"/>
    <w:autoRedefine/>
    <w:qFormat/>
    <w:uiPriority w:val="22"/>
  </w:style>
  <w:style w:type="character" w:styleId="23">
    <w:name w:val="page number"/>
    <w:basedOn w:val="21"/>
    <w:autoRedefine/>
    <w:qFormat/>
    <w:uiPriority w:val="0"/>
  </w:style>
  <w:style w:type="character" w:styleId="24">
    <w:name w:val="FollowedHyperlink"/>
    <w:basedOn w:val="21"/>
    <w:autoRedefine/>
    <w:semiHidden/>
    <w:unhideWhenUsed/>
    <w:qFormat/>
    <w:uiPriority w:val="99"/>
    <w:rPr>
      <w:color w:val="333333"/>
      <w:u w:val="none"/>
    </w:rPr>
  </w:style>
  <w:style w:type="character" w:styleId="25">
    <w:name w:val="Emphasis"/>
    <w:basedOn w:val="21"/>
    <w:autoRedefine/>
    <w:qFormat/>
    <w:uiPriority w:val="20"/>
  </w:style>
  <w:style w:type="character" w:styleId="26">
    <w:name w:val="HTML Definition"/>
    <w:basedOn w:val="21"/>
    <w:autoRedefine/>
    <w:semiHidden/>
    <w:unhideWhenUsed/>
    <w:qFormat/>
    <w:uiPriority w:val="99"/>
  </w:style>
  <w:style w:type="character" w:styleId="27">
    <w:name w:val="HTML Typewriter"/>
    <w:basedOn w:val="21"/>
    <w:autoRedefine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8">
    <w:name w:val="HTML Acronym"/>
    <w:basedOn w:val="21"/>
    <w:autoRedefine/>
    <w:semiHidden/>
    <w:unhideWhenUsed/>
    <w:qFormat/>
    <w:uiPriority w:val="99"/>
  </w:style>
  <w:style w:type="character" w:styleId="29">
    <w:name w:val="HTML Variable"/>
    <w:basedOn w:val="21"/>
    <w:autoRedefine/>
    <w:semiHidden/>
    <w:unhideWhenUsed/>
    <w:qFormat/>
    <w:uiPriority w:val="99"/>
  </w:style>
  <w:style w:type="character" w:styleId="30">
    <w:name w:val="Hyperlink"/>
    <w:basedOn w:val="21"/>
    <w:autoRedefine/>
    <w:semiHidden/>
    <w:unhideWhenUsed/>
    <w:qFormat/>
    <w:uiPriority w:val="99"/>
    <w:rPr>
      <w:color w:val="333333"/>
      <w:u w:val="none"/>
    </w:rPr>
  </w:style>
  <w:style w:type="character" w:styleId="31">
    <w:name w:val="HTML Code"/>
    <w:basedOn w:val="21"/>
    <w:autoRedefine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32">
    <w:name w:val="HTML Cite"/>
    <w:basedOn w:val="21"/>
    <w:autoRedefine/>
    <w:semiHidden/>
    <w:unhideWhenUsed/>
    <w:qFormat/>
    <w:uiPriority w:val="99"/>
  </w:style>
  <w:style w:type="character" w:styleId="33">
    <w:name w:val="HTML Keyboard"/>
    <w:basedOn w:val="21"/>
    <w:autoRedefine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34">
    <w:name w:val="HTML Sample"/>
    <w:basedOn w:val="21"/>
    <w:autoRedefine/>
    <w:semiHidden/>
    <w:unhideWhenUsed/>
    <w:qFormat/>
    <w:uiPriority w:val="99"/>
    <w:rPr>
      <w:rFonts w:ascii="monospace" w:hAnsi="monospace" w:eastAsia="monospace" w:cs="monospace"/>
    </w:rPr>
  </w:style>
  <w:style w:type="paragraph" w:customStyle="1" w:styleId="35">
    <w:name w:val="style4"/>
    <w:basedOn w:val="1"/>
    <w:next w:val="36"/>
    <w:autoRedefine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36">
    <w:name w:val="2"/>
    <w:next w:val="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37">
    <w:name w:val="样式 首行缩进:  2 字符"/>
    <w:basedOn w:val="1"/>
    <w:autoRedefine/>
    <w:qFormat/>
    <w:uiPriority w:val="0"/>
    <w:pPr>
      <w:ind w:firstLine="560"/>
    </w:pPr>
    <w:rPr>
      <w:rFonts w:eastAsia="仿宋_GB2312" w:cs="宋体"/>
      <w:szCs w:val="20"/>
    </w:rPr>
  </w:style>
  <w:style w:type="character" w:customStyle="1" w:styleId="38">
    <w:name w:val="标题 2 Char"/>
    <w:basedOn w:val="21"/>
    <w:link w:val="3"/>
    <w:autoRedefine/>
    <w:qFormat/>
    <w:uiPriority w:val="0"/>
    <w:rPr>
      <w:rFonts w:ascii="Arial" w:hAnsi="Arial" w:eastAsia="黑体" w:cs="Times New Roman"/>
      <w:b/>
      <w:sz w:val="32"/>
      <w:szCs w:val="20"/>
    </w:rPr>
  </w:style>
  <w:style w:type="character" w:customStyle="1" w:styleId="39">
    <w:name w:val="标题 3 Char"/>
    <w:basedOn w:val="21"/>
    <w:link w:val="4"/>
    <w:autoRedefine/>
    <w:qFormat/>
    <w:uiPriority w:val="0"/>
    <w:rPr>
      <w:rFonts w:ascii="Times New Roman" w:hAnsi="Times New Roman" w:eastAsia="宋体" w:cs="Times New Roman"/>
      <w:b/>
      <w:sz w:val="32"/>
      <w:szCs w:val="20"/>
    </w:rPr>
  </w:style>
  <w:style w:type="character" w:customStyle="1" w:styleId="40">
    <w:name w:val="正文文本缩进 3 Char"/>
    <w:link w:val="14"/>
    <w:autoRedefine/>
    <w:qFormat/>
    <w:uiPriority w:val="0"/>
    <w:rPr>
      <w:sz w:val="16"/>
      <w:szCs w:val="16"/>
    </w:rPr>
  </w:style>
  <w:style w:type="character" w:customStyle="1" w:styleId="41">
    <w:name w:val="页脚 Char"/>
    <w:link w:val="12"/>
    <w:autoRedefine/>
    <w:qFormat/>
    <w:uiPriority w:val="99"/>
    <w:rPr>
      <w:rFonts w:eastAsia="宋体"/>
      <w:sz w:val="18"/>
      <w:szCs w:val="18"/>
    </w:rPr>
  </w:style>
  <w:style w:type="character" w:customStyle="1" w:styleId="42">
    <w:name w:val="页眉 Char"/>
    <w:link w:val="13"/>
    <w:autoRedefine/>
    <w:qFormat/>
    <w:uiPriority w:val="99"/>
    <w:rPr>
      <w:sz w:val="18"/>
      <w:szCs w:val="18"/>
    </w:rPr>
  </w:style>
  <w:style w:type="character" w:customStyle="1" w:styleId="43">
    <w:name w:val="正文缩进 Char"/>
    <w:link w:val="5"/>
    <w:autoRedefine/>
    <w:qFormat/>
    <w:locked/>
    <w:uiPriority w:val="0"/>
  </w:style>
  <w:style w:type="character" w:customStyle="1" w:styleId="44">
    <w:name w:val="纯文本 Char1"/>
    <w:link w:val="11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45">
    <w:name w:val="正文文本 Char"/>
    <w:link w:val="8"/>
    <w:autoRedefine/>
    <w:qFormat/>
    <w:uiPriority w:val="0"/>
    <w:rPr>
      <w:szCs w:val="24"/>
    </w:rPr>
  </w:style>
  <w:style w:type="character" w:customStyle="1" w:styleId="46">
    <w:name w:val="正文首行缩进 Char"/>
    <w:link w:val="17"/>
    <w:autoRedefine/>
    <w:qFormat/>
    <w:uiPriority w:val="0"/>
    <w:rPr>
      <w:rFonts w:eastAsia="楷体_GB2312"/>
      <w:sz w:val="32"/>
      <w:szCs w:val="24"/>
    </w:rPr>
  </w:style>
  <w:style w:type="character" w:customStyle="1" w:styleId="47">
    <w:name w:val="正文文本 Char1"/>
    <w:basedOn w:val="21"/>
    <w:link w:val="8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48">
    <w:name w:val="页眉 Char1"/>
    <w:basedOn w:val="21"/>
    <w:link w:val="1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49">
    <w:name w:val="页脚 Char1"/>
    <w:basedOn w:val="21"/>
    <w:link w:val="1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50">
    <w:name w:val="纯文本 Char"/>
    <w:basedOn w:val="21"/>
    <w:link w:val="11"/>
    <w:autoRedefine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51">
    <w:name w:val="正文文本缩进 3 Char1"/>
    <w:basedOn w:val="21"/>
    <w:link w:val="14"/>
    <w:autoRedefine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52">
    <w:name w:val="正文首行缩进 Char1"/>
    <w:basedOn w:val="47"/>
    <w:link w:val="17"/>
    <w:autoRedefine/>
    <w:semiHidden/>
    <w:qFormat/>
    <w:uiPriority w:val="99"/>
  </w:style>
  <w:style w:type="paragraph" w:customStyle="1" w:styleId="53">
    <w:name w:val="xl2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hint="eastAsia" w:ascii="仿宋_GB2312" w:hAnsi="宋体" w:eastAsia="仿宋_GB2312"/>
      <w:kern w:val="0"/>
      <w:sz w:val="32"/>
      <w:szCs w:val="32"/>
    </w:rPr>
  </w:style>
  <w:style w:type="paragraph" w:styleId="54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55">
    <w:name w:val="样式1"/>
    <w:basedOn w:val="13"/>
    <w:next w:val="6"/>
    <w:autoRedefine/>
    <w:qFormat/>
    <w:uiPriority w:val="0"/>
    <w:pPr>
      <w:ind w:firstLine="200"/>
    </w:pPr>
  </w:style>
  <w:style w:type="paragraph" w:customStyle="1" w:styleId="56">
    <w:name w:val="WPSOffice手动目录 1"/>
    <w:autoRedefine/>
    <w:qFormat/>
    <w:uiPriority w:val="0"/>
    <w:pPr>
      <w:ind w:leftChars="0"/>
    </w:pPr>
    <w:rPr>
      <w:rFonts w:ascii="Calibri" w:hAnsi="Calibri" w:eastAsia="宋体" w:cs="Times New Roman"/>
      <w:sz w:val="20"/>
      <w:szCs w:val="20"/>
    </w:rPr>
  </w:style>
  <w:style w:type="character" w:customStyle="1" w:styleId="57">
    <w:name w:val="first-child"/>
    <w:basedOn w:val="21"/>
    <w:autoRedefine/>
    <w:qFormat/>
    <w:uiPriority w:val="0"/>
    <w:rPr>
      <w:sz w:val="24"/>
      <w:szCs w:val="24"/>
    </w:rPr>
  </w:style>
  <w:style w:type="character" w:customStyle="1" w:styleId="58">
    <w:name w:val="first-child1"/>
    <w:basedOn w:val="21"/>
    <w:autoRedefine/>
    <w:qFormat/>
    <w:uiPriority w:val="0"/>
    <w:rPr>
      <w:color w:val="999999"/>
    </w:rPr>
  </w:style>
  <w:style w:type="character" w:customStyle="1" w:styleId="59">
    <w:name w:val="first-child2"/>
    <w:basedOn w:val="21"/>
    <w:autoRedefine/>
    <w:qFormat/>
    <w:uiPriority w:val="0"/>
    <w:rPr>
      <w:sz w:val="24"/>
      <w:szCs w:val="24"/>
    </w:rPr>
  </w:style>
  <w:style w:type="character" w:customStyle="1" w:styleId="60">
    <w:name w:val="first-child3"/>
    <w:basedOn w:val="21"/>
    <w:autoRedefine/>
    <w:qFormat/>
    <w:uiPriority w:val="0"/>
    <w:rPr>
      <w:rFonts w:ascii="Arial" w:hAnsi="Arial" w:cs="Arial"/>
      <w:sz w:val="57"/>
      <w:szCs w:val="57"/>
    </w:rPr>
  </w:style>
  <w:style w:type="paragraph" w:customStyle="1" w:styleId="61">
    <w:name w:val="列出段落11"/>
    <w:basedOn w:val="1"/>
    <w:autoRedefine/>
    <w:qFormat/>
    <w:uiPriority w:val="0"/>
    <w:pPr>
      <w:ind w:firstLine="420"/>
    </w:pPr>
  </w:style>
  <w:style w:type="paragraph" w:customStyle="1" w:styleId="62">
    <w:name w:val="首行缩进"/>
    <w:basedOn w:val="1"/>
    <w:autoRedefine/>
    <w:qFormat/>
    <w:uiPriority w:val="0"/>
    <w:pPr>
      <w:spacing w:line="360" w:lineRule="auto"/>
      <w:ind w:firstLine="420" w:firstLineChars="200"/>
    </w:pPr>
    <w:rPr>
      <w:rFonts w:ascii="宋体" w:hAnsi="宋体"/>
    </w:rPr>
  </w:style>
  <w:style w:type="paragraph" w:customStyle="1" w:styleId="63">
    <w:name w:val="_Style 3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64">
    <w:name w:val="彩色列表 - 强调文字颜色 11"/>
    <w:autoRedefine/>
    <w:qFormat/>
    <w:uiPriority w:val="0"/>
    <w:pPr>
      <w:widowControl w:val="0"/>
      <w:ind w:firstLine="42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lang w:val="en-US" w:eastAsia="zh-CN" w:bidi="ar-SA"/>
    </w:rPr>
  </w:style>
  <w:style w:type="paragraph" w:customStyle="1" w:styleId="65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6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3922</Words>
  <Characters>3964</Characters>
  <Lines>66</Lines>
  <Paragraphs>18</Paragraphs>
  <TotalTime>26</TotalTime>
  <ScaleCrop>false</ScaleCrop>
  <LinksUpToDate>false</LinksUpToDate>
  <CharactersWithSpaces>3980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2021-02-06T02:07:00Z</dcterms:created>
  <dc:creator>NTKO</dc:creator>
  <cp:lastModifiedBy>高作青</cp:lastModifiedBy>
  <cp:lastPrinted>2024-06-05T03:06:00Z</cp:lastPrinted>
  <dcterms:modified xsi:type="dcterms:W3CDTF">2025-07-28T10:32:01Z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8B4B586F3615415781C70F08062B227E_13</vt:lpwstr>
  </property>
</Properties>
</file>