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0E43">
      <w:pPr>
        <w:widowControl/>
        <w:jc w:val="center"/>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河南省胸科医院</w:t>
      </w:r>
      <w:r>
        <w:rPr>
          <w:rFonts w:hint="eastAsia" w:ascii="宋体" w:hAnsi="宋体" w:cs="Times New Roman"/>
          <w:b/>
          <w:color w:val="auto"/>
          <w:sz w:val="32"/>
          <w:szCs w:val="32"/>
          <w:lang w:val="en-US" w:eastAsia="zh-CN"/>
        </w:rPr>
        <w:t>病案首页质控</w:t>
      </w:r>
      <w:r>
        <w:rPr>
          <w:rFonts w:hint="eastAsia" w:ascii="宋体" w:hAnsi="宋体" w:eastAsia="宋体" w:cs="Times New Roman"/>
          <w:b/>
          <w:color w:val="auto"/>
          <w:sz w:val="32"/>
          <w:szCs w:val="32"/>
          <w:lang w:val="en-US" w:eastAsia="zh-CN"/>
        </w:rPr>
        <w:t>系统</w:t>
      </w:r>
      <w:r>
        <w:rPr>
          <w:rFonts w:hint="eastAsia" w:ascii="宋体" w:hAnsi="宋体" w:cs="Times New Roman"/>
          <w:b/>
          <w:color w:val="auto"/>
          <w:sz w:val="32"/>
          <w:szCs w:val="32"/>
          <w:lang w:val="en-US" w:eastAsia="zh-CN"/>
        </w:rPr>
        <w:t>运维</w:t>
      </w:r>
    </w:p>
    <w:p w14:paraId="308ED5C4">
      <w:pPr>
        <w:widowControl/>
        <w:jc w:val="center"/>
        <w:rPr>
          <w:rFonts w:hint="eastAsia"/>
        </w:rPr>
      </w:pP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432863D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0" w:name="_Toc155249524"/>
      <w:bookmarkStart w:id="1" w:name="_Toc476419059"/>
      <w:bookmarkStart w:id="2" w:name="_Toc169314184"/>
      <w:bookmarkStart w:id="3" w:name="_Toc29773"/>
      <w:bookmarkStart w:id="4" w:name="_Toc476420856"/>
      <w:bookmarkStart w:id="5" w:name="_Toc63697600"/>
      <w:bookmarkStart w:id="6" w:name="_Toc155249520"/>
      <w:bookmarkStart w:id="7" w:name="_Toc533344015"/>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08F09CF">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维保产品列表</w:t>
      </w:r>
    </w:p>
    <w:tbl>
      <w:tblPr>
        <w:tblStyle w:val="22"/>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62"/>
        <w:gridCol w:w="1875"/>
        <w:gridCol w:w="5200"/>
      </w:tblGrid>
      <w:tr w14:paraId="4F1E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0EE254B8">
            <w:pPr>
              <w:spacing w:line="336" w:lineRule="auto"/>
              <w:jc w:val="center"/>
              <w:rPr>
                <w:rFonts w:ascii="宋体" w:hAnsi="宋体" w:cs="宋体"/>
                <w:sz w:val="24"/>
                <w:szCs w:val="24"/>
              </w:rPr>
            </w:pPr>
            <w:r>
              <w:rPr>
                <w:rFonts w:hint="eastAsia" w:ascii="宋体" w:hAnsi="宋体" w:cs="宋体"/>
                <w:sz w:val="24"/>
                <w:szCs w:val="24"/>
              </w:rPr>
              <w:t>序号</w:t>
            </w:r>
          </w:p>
        </w:tc>
        <w:tc>
          <w:tcPr>
            <w:tcW w:w="1262" w:type="dxa"/>
          </w:tcPr>
          <w:p w14:paraId="083E438D">
            <w:pPr>
              <w:spacing w:line="336" w:lineRule="auto"/>
              <w:jc w:val="center"/>
              <w:rPr>
                <w:rFonts w:ascii="宋体" w:hAnsi="宋体" w:cs="宋体"/>
                <w:sz w:val="24"/>
                <w:szCs w:val="24"/>
              </w:rPr>
            </w:pPr>
            <w:r>
              <w:rPr>
                <w:rFonts w:hint="eastAsia" w:ascii="宋体" w:hAnsi="宋体" w:cs="宋体"/>
                <w:sz w:val="24"/>
                <w:szCs w:val="24"/>
              </w:rPr>
              <w:t>系统</w:t>
            </w:r>
          </w:p>
        </w:tc>
        <w:tc>
          <w:tcPr>
            <w:tcW w:w="1875" w:type="dxa"/>
          </w:tcPr>
          <w:p w14:paraId="50ABE6DC">
            <w:pPr>
              <w:spacing w:line="336" w:lineRule="auto"/>
              <w:jc w:val="center"/>
              <w:rPr>
                <w:rFonts w:ascii="宋体" w:hAnsi="宋体" w:cs="宋体"/>
                <w:sz w:val="24"/>
                <w:szCs w:val="24"/>
              </w:rPr>
            </w:pPr>
            <w:r>
              <w:rPr>
                <w:rFonts w:hint="eastAsia" w:ascii="宋体" w:hAnsi="宋体" w:cs="宋体"/>
                <w:sz w:val="24"/>
                <w:szCs w:val="24"/>
              </w:rPr>
              <w:t>功能</w:t>
            </w:r>
          </w:p>
        </w:tc>
        <w:tc>
          <w:tcPr>
            <w:tcW w:w="5200" w:type="dxa"/>
          </w:tcPr>
          <w:p w14:paraId="0AB9FFE0">
            <w:pPr>
              <w:spacing w:line="336" w:lineRule="auto"/>
              <w:jc w:val="center"/>
              <w:rPr>
                <w:rFonts w:ascii="宋体" w:hAnsi="宋体" w:cs="宋体"/>
                <w:sz w:val="24"/>
                <w:szCs w:val="24"/>
              </w:rPr>
            </w:pPr>
            <w:r>
              <w:rPr>
                <w:rFonts w:hint="eastAsia" w:ascii="宋体" w:hAnsi="宋体" w:cs="宋体"/>
                <w:sz w:val="24"/>
                <w:szCs w:val="24"/>
              </w:rPr>
              <w:t>备注</w:t>
            </w:r>
          </w:p>
        </w:tc>
      </w:tr>
      <w:tr w14:paraId="624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5263762">
            <w:pPr>
              <w:spacing w:line="336" w:lineRule="auto"/>
              <w:jc w:val="center"/>
              <w:rPr>
                <w:rFonts w:ascii="宋体" w:hAnsi="宋体" w:cs="宋体"/>
                <w:sz w:val="24"/>
                <w:szCs w:val="24"/>
              </w:rPr>
            </w:pPr>
            <w:r>
              <w:rPr>
                <w:rFonts w:hint="eastAsia" w:ascii="宋体" w:hAnsi="宋体" w:cs="宋体"/>
                <w:sz w:val="24"/>
                <w:szCs w:val="24"/>
              </w:rPr>
              <w:t>1</w:t>
            </w:r>
          </w:p>
        </w:tc>
        <w:tc>
          <w:tcPr>
            <w:tcW w:w="1262" w:type="dxa"/>
            <w:vAlign w:val="center"/>
          </w:tcPr>
          <w:p w14:paraId="4C139729">
            <w:pPr>
              <w:spacing w:line="336" w:lineRule="auto"/>
              <w:jc w:val="center"/>
              <w:rPr>
                <w:rFonts w:ascii="宋体" w:hAnsi="宋体" w:cs="宋体"/>
                <w:sz w:val="24"/>
                <w:szCs w:val="24"/>
              </w:rPr>
            </w:pPr>
            <w:r>
              <w:rPr>
                <w:rFonts w:hint="eastAsia" w:ascii="宋体" w:hAnsi="宋体" w:cs="宋体"/>
                <w:sz w:val="24"/>
                <w:szCs w:val="24"/>
              </w:rPr>
              <w:t>病案首页</w:t>
            </w:r>
          </w:p>
        </w:tc>
        <w:tc>
          <w:tcPr>
            <w:tcW w:w="1875" w:type="dxa"/>
            <w:vAlign w:val="center"/>
          </w:tcPr>
          <w:p w14:paraId="71FB8783">
            <w:pPr>
              <w:spacing w:line="336" w:lineRule="auto"/>
              <w:jc w:val="center"/>
              <w:rPr>
                <w:rFonts w:ascii="宋体" w:hAnsi="宋体" w:cs="宋体"/>
                <w:sz w:val="24"/>
                <w:szCs w:val="24"/>
              </w:rPr>
            </w:pPr>
            <w:r>
              <w:rPr>
                <w:rFonts w:hint="eastAsia" w:ascii="宋体" w:hAnsi="宋体" w:cs="宋体"/>
                <w:sz w:val="24"/>
                <w:szCs w:val="24"/>
              </w:rPr>
              <w:t>病案首页</w:t>
            </w:r>
          </w:p>
        </w:tc>
        <w:tc>
          <w:tcPr>
            <w:tcW w:w="5200" w:type="dxa"/>
          </w:tcPr>
          <w:p w14:paraId="7F2D4F28">
            <w:pPr>
              <w:spacing w:line="336" w:lineRule="auto"/>
              <w:jc w:val="left"/>
              <w:rPr>
                <w:rFonts w:ascii="宋体" w:hAnsi="宋体" w:cs="宋体"/>
                <w:sz w:val="24"/>
                <w:szCs w:val="24"/>
              </w:rPr>
            </w:pPr>
            <w:r>
              <w:rPr>
                <w:rFonts w:hint="eastAsia" w:ascii="宋体" w:hAnsi="宋体" w:cs="宋体"/>
                <w:sz w:val="24"/>
                <w:szCs w:val="24"/>
              </w:rPr>
              <w:t>系统病案首页内容要完全按照卫计委 2017 版首页填写质量规范要求设计，并支持医院自主要求进行自定义增加部分信息，可实现病案首页扩展，能够提供首页项目外的其他项目录入，可以根据医院具体的需要添加附页;</w:t>
            </w:r>
          </w:p>
        </w:tc>
      </w:tr>
      <w:tr w14:paraId="21B3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25974F9F">
            <w:pPr>
              <w:spacing w:line="336" w:lineRule="auto"/>
              <w:jc w:val="center"/>
              <w:rPr>
                <w:rFonts w:ascii="宋体" w:hAnsi="宋体" w:cs="宋体"/>
                <w:sz w:val="24"/>
                <w:szCs w:val="24"/>
              </w:rPr>
            </w:pPr>
            <w:r>
              <w:rPr>
                <w:rFonts w:hint="eastAsia" w:ascii="宋体" w:hAnsi="宋体" w:cs="宋体"/>
                <w:sz w:val="24"/>
                <w:szCs w:val="24"/>
              </w:rPr>
              <w:t>2</w:t>
            </w:r>
          </w:p>
        </w:tc>
        <w:tc>
          <w:tcPr>
            <w:tcW w:w="1262" w:type="dxa"/>
            <w:vMerge w:val="restart"/>
            <w:vAlign w:val="center"/>
          </w:tcPr>
          <w:p w14:paraId="3B31ED03">
            <w:pPr>
              <w:spacing w:line="336" w:lineRule="auto"/>
              <w:jc w:val="center"/>
              <w:rPr>
                <w:rFonts w:ascii="宋体" w:hAnsi="宋体" w:cs="宋体"/>
                <w:sz w:val="24"/>
                <w:szCs w:val="24"/>
              </w:rPr>
            </w:pPr>
            <w:r>
              <w:rPr>
                <w:rFonts w:hint="eastAsia" w:ascii="宋体" w:hAnsi="宋体" w:cs="宋体"/>
                <w:sz w:val="24"/>
                <w:szCs w:val="24"/>
              </w:rPr>
              <w:t>病案首页质控系统</w:t>
            </w:r>
          </w:p>
        </w:tc>
        <w:tc>
          <w:tcPr>
            <w:tcW w:w="1875" w:type="dxa"/>
          </w:tcPr>
          <w:p w14:paraId="2EBBD343">
            <w:pPr>
              <w:spacing w:line="336" w:lineRule="auto"/>
              <w:jc w:val="center"/>
              <w:rPr>
                <w:rFonts w:ascii="宋体" w:hAnsi="宋体" w:cs="宋体"/>
                <w:sz w:val="24"/>
                <w:szCs w:val="24"/>
              </w:rPr>
            </w:pPr>
            <w:r>
              <w:rPr>
                <w:rFonts w:hint="eastAsia" w:ascii="宋体" w:hAnsi="宋体" w:cs="宋体"/>
                <w:sz w:val="24"/>
                <w:szCs w:val="24"/>
              </w:rPr>
              <w:t>病案首页质控</w:t>
            </w:r>
          </w:p>
        </w:tc>
        <w:tc>
          <w:tcPr>
            <w:tcW w:w="5200" w:type="dxa"/>
          </w:tcPr>
          <w:p w14:paraId="67996F94">
            <w:pPr>
              <w:spacing w:line="336" w:lineRule="auto"/>
              <w:jc w:val="left"/>
              <w:rPr>
                <w:rFonts w:ascii="宋体" w:hAnsi="宋体" w:cs="宋体"/>
                <w:sz w:val="24"/>
                <w:szCs w:val="24"/>
              </w:rPr>
            </w:pPr>
            <w:r>
              <w:rPr>
                <w:rFonts w:hint="eastAsia" w:ascii="宋体" w:hAnsi="宋体" w:cs="宋体"/>
                <w:bCs/>
                <w:sz w:val="24"/>
                <w:szCs w:val="24"/>
              </w:rPr>
              <w:t>前置质控、质控检索、复合检索功能</w:t>
            </w:r>
          </w:p>
        </w:tc>
      </w:tr>
      <w:tr w14:paraId="6EB5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55C0D471">
            <w:pPr>
              <w:spacing w:line="336" w:lineRule="auto"/>
              <w:jc w:val="center"/>
              <w:rPr>
                <w:rFonts w:ascii="宋体" w:hAnsi="宋体" w:cs="宋体"/>
                <w:sz w:val="24"/>
                <w:szCs w:val="24"/>
              </w:rPr>
            </w:pPr>
          </w:p>
        </w:tc>
        <w:tc>
          <w:tcPr>
            <w:tcW w:w="1262" w:type="dxa"/>
            <w:vMerge w:val="continue"/>
          </w:tcPr>
          <w:p w14:paraId="7592DEDE">
            <w:pPr>
              <w:spacing w:line="336" w:lineRule="auto"/>
              <w:jc w:val="center"/>
              <w:rPr>
                <w:rFonts w:ascii="宋体" w:hAnsi="宋体" w:cs="宋体"/>
                <w:sz w:val="24"/>
                <w:szCs w:val="24"/>
              </w:rPr>
            </w:pPr>
          </w:p>
        </w:tc>
        <w:tc>
          <w:tcPr>
            <w:tcW w:w="1875" w:type="dxa"/>
          </w:tcPr>
          <w:p w14:paraId="36D56872">
            <w:pPr>
              <w:spacing w:line="336" w:lineRule="auto"/>
              <w:jc w:val="center"/>
              <w:rPr>
                <w:rFonts w:ascii="宋体" w:hAnsi="宋体" w:cs="宋体"/>
                <w:sz w:val="24"/>
                <w:szCs w:val="24"/>
              </w:rPr>
            </w:pPr>
            <w:r>
              <w:rPr>
                <w:rFonts w:hint="eastAsia" w:ascii="宋体" w:hAnsi="宋体" w:cs="宋体"/>
                <w:sz w:val="24"/>
                <w:szCs w:val="24"/>
              </w:rPr>
              <w:t>综合质控统计</w:t>
            </w:r>
          </w:p>
        </w:tc>
        <w:tc>
          <w:tcPr>
            <w:tcW w:w="5200" w:type="dxa"/>
          </w:tcPr>
          <w:p w14:paraId="5C4F40DA">
            <w:pPr>
              <w:spacing w:line="336" w:lineRule="auto"/>
              <w:jc w:val="left"/>
              <w:rPr>
                <w:rFonts w:ascii="宋体" w:hAnsi="宋体" w:cs="宋体"/>
                <w:sz w:val="24"/>
                <w:szCs w:val="24"/>
              </w:rPr>
            </w:pPr>
            <w:r>
              <w:rPr>
                <w:rFonts w:hint="eastAsia" w:ascii="宋体" w:hAnsi="宋体" w:cs="宋体"/>
                <w:bCs/>
                <w:sz w:val="24"/>
                <w:szCs w:val="24"/>
              </w:rPr>
              <w:t>首页质控、科室质控、医生质控、监管统计、质控日志、常用统计报表</w:t>
            </w:r>
          </w:p>
        </w:tc>
      </w:tr>
      <w:tr w14:paraId="73AB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50" w:type="dxa"/>
            <w:vMerge w:val="continue"/>
          </w:tcPr>
          <w:p w14:paraId="3BD5DC75">
            <w:pPr>
              <w:spacing w:line="336" w:lineRule="auto"/>
              <w:jc w:val="center"/>
              <w:rPr>
                <w:rFonts w:ascii="宋体" w:hAnsi="宋体" w:cs="宋体"/>
                <w:sz w:val="24"/>
                <w:szCs w:val="24"/>
              </w:rPr>
            </w:pPr>
          </w:p>
        </w:tc>
        <w:tc>
          <w:tcPr>
            <w:tcW w:w="1262" w:type="dxa"/>
            <w:vMerge w:val="continue"/>
          </w:tcPr>
          <w:p w14:paraId="113DFD3E">
            <w:pPr>
              <w:spacing w:line="336" w:lineRule="auto"/>
              <w:jc w:val="center"/>
              <w:rPr>
                <w:rFonts w:ascii="宋体" w:hAnsi="宋体" w:cs="宋体"/>
                <w:sz w:val="24"/>
                <w:szCs w:val="24"/>
              </w:rPr>
            </w:pPr>
          </w:p>
        </w:tc>
        <w:tc>
          <w:tcPr>
            <w:tcW w:w="1875" w:type="dxa"/>
          </w:tcPr>
          <w:p w14:paraId="6631F892">
            <w:pPr>
              <w:spacing w:line="336" w:lineRule="auto"/>
              <w:jc w:val="center"/>
              <w:rPr>
                <w:rFonts w:ascii="宋体" w:hAnsi="宋体" w:cs="宋体"/>
                <w:sz w:val="24"/>
                <w:szCs w:val="24"/>
              </w:rPr>
            </w:pPr>
            <w:r>
              <w:rPr>
                <w:rFonts w:hint="eastAsia" w:ascii="宋体" w:hAnsi="宋体" w:cs="宋体"/>
                <w:sz w:val="24"/>
                <w:szCs w:val="24"/>
              </w:rPr>
              <w:t>终末质控</w:t>
            </w:r>
          </w:p>
        </w:tc>
        <w:tc>
          <w:tcPr>
            <w:tcW w:w="5200" w:type="dxa"/>
          </w:tcPr>
          <w:p w14:paraId="421C1151">
            <w:pPr>
              <w:spacing w:line="336" w:lineRule="auto"/>
              <w:jc w:val="left"/>
              <w:rPr>
                <w:rFonts w:ascii="宋体" w:hAnsi="宋体" w:cs="宋体"/>
                <w:sz w:val="24"/>
                <w:szCs w:val="24"/>
              </w:rPr>
            </w:pPr>
            <w:r>
              <w:rPr>
                <w:rFonts w:hint="eastAsia" w:ascii="宋体" w:hAnsi="宋体" w:cs="宋体"/>
                <w:bCs/>
                <w:sz w:val="24"/>
                <w:szCs w:val="24"/>
              </w:rPr>
              <w:t>病历筛选、终末病历评分、评分规则设置、终末质控统计分析</w:t>
            </w:r>
          </w:p>
        </w:tc>
      </w:tr>
      <w:tr w14:paraId="690C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228201F3">
            <w:pPr>
              <w:spacing w:line="336" w:lineRule="auto"/>
              <w:jc w:val="center"/>
              <w:rPr>
                <w:rFonts w:ascii="宋体" w:hAnsi="宋体" w:cs="宋体"/>
                <w:sz w:val="24"/>
                <w:szCs w:val="24"/>
              </w:rPr>
            </w:pPr>
          </w:p>
        </w:tc>
        <w:tc>
          <w:tcPr>
            <w:tcW w:w="1262" w:type="dxa"/>
            <w:vMerge w:val="continue"/>
          </w:tcPr>
          <w:p w14:paraId="3A857FD1">
            <w:pPr>
              <w:spacing w:line="336" w:lineRule="auto"/>
              <w:jc w:val="center"/>
              <w:rPr>
                <w:rFonts w:ascii="宋体" w:hAnsi="宋体" w:cs="宋体"/>
                <w:sz w:val="24"/>
                <w:szCs w:val="24"/>
              </w:rPr>
            </w:pPr>
          </w:p>
        </w:tc>
        <w:tc>
          <w:tcPr>
            <w:tcW w:w="1875" w:type="dxa"/>
          </w:tcPr>
          <w:p w14:paraId="10EE3685">
            <w:pPr>
              <w:spacing w:line="336" w:lineRule="auto"/>
              <w:jc w:val="center"/>
              <w:rPr>
                <w:rFonts w:ascii="宋体" w:hAnsi="宋体" w:cs="宋体"/>
                <w:sz w:val="24"/>
                <w:szCs w:val="24"/>
              </w:rPr>
            </w:pPr>
            <w:r>
              <w:rPr>
                <w:rFonts w:hint="eastAsia" w:ascii="宋体" w:hAnsi="宋体" w:cs="宋体"/>
                <w:sz w:val="24"/>
                <w:szCs w:val="24"/>
              </w:rPr>
              <w:t>DRGS统计分析</w:t>
            </w:r>
          </w:p>
        </w:tc>
        <w:tc>
          <w:tcPr>
            <w:tcW w:w="5200" w:type="dxa"/>
          </w:tcPr>
          <w:p w14:paraId="41C4E117">
            <w:pPr>
              <w:spacing w:line="336" w:lineRule="auto"/>
              <w:jc w:val="left"/>
              <w:rPr>
                <w:rFonts w:ascii="宋体" w:hAnsi="宋体" w:cs="宋体"/>
                <w:sz w:val="24"/>
                <w:szCs w:val="24"/>
              </w:rPr>
            </w:pPr>
            <w:r>
              <w:rPr>
                <w:rFonts w:hint="eastAsia" w:ascii="宋体" w:hAnsi="宋体" w:cs="宋体"/>
                <w:bCs/>
                <w:sz w:val="24"/>
                <w:szCs w:val="24"/>
              </w:rPr>
              <w:t>DRGS分组器、DRGS数据分析、DRGS参数配置、</w:t>
            </w:r>
          </w:p>
        </w:tc>
      </w:tr>
      <w:tr w14:paraId="0A7E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697DE9B8">
            <w:pPr>
              <w:spacing w:line="336" w:lineRule="auto"/>
              <w:jc w:val="center"/>
              <w:rPr>
                <w:rFonts w:ascii="宋体" w:hAnsi="宋体" w:cs="宋体"/>
                <w:sz w:val="24"/>
                <w:szCs w:val="24"/>
              </w:rPr>
            </w:pPr>
          </w:p>
        </w:tc>
        <w:tc>
          <w:tcPr>
            <w:tcW w:w="1262" w:type="dxa"/>
            <w:vMerge w:val="continue"/>
          </w:tcPr>
          <w:p w14:paraId="33518A6D">
            <w:pPr>
              <w:spacing w:line="336" w:lineRule="auto"/>
              <w:jc w:val="center"/>
              <w:rPr>
                <w:rFonts w:ascii="宋体" w:hAnsi="宋体" w:cs="宋体"/>
                <w:sz w:val="24"/>
                <w:szCs w:val="24"/>
              </w:rPr>
            </w:pPr>
          </w:p>
        </w:tc>
        <w:tc>
          <w:tcPr>
            <w:tcW w:w="1875" w:type="dxa"/>
          </w:tcPr>
          <w:p w14:paraId="63792885">
            <w:pPr>
              <w:spacing w:line="336" w:lineRule="auto"/>
              <w:jc w:val="center"/>
              <w:rPr>
                <w:rFonts w:ascii="宋体" w:hAnsi="宋体" w:cs="宋体"/>
                <w:sz w:val="24"/>
                <w:szCs w:val="24"/>
              </w:rPr>
            </w:pPr>
            <w:r>
              <w:rPr>
                <w:rFonts w:hint="eastAsia" w:ascii="宋体" w:hAnsi="宋体" w:cs="宋体"/>
                <w:sz w:val="24"/>
                <w:szCs w:val="24"/>
              </w:rPr>
              <w:t>数据字典</w:t>
            </w:r>
          </w:p>
        </w:tc>
        <w:tc>
          <w:tcPr>
            <w:tcW w:w="5200" w:type="dxa"/>
          </w:tcPr>
          <w:p w14:paraId="186F26CB">
            <w:pPr>
              <w:spacing w:line="336" w:lineRule="auto"/>
              <w:jc w:val="left"/>
              <w:rPr>
                <w:rFonts w:ascii="宋体" w:hAnsi="宋体" w:cs="宋体"/>
                <w:sz w:val="24"/>
                <w:szCs w:val="24"/>
              </w:rPr>
            </w:pPr>
            <w:r>
              <w:rPr>
                <w:rFonts w:hint="eastAsia" w:ascii="宋体" w:hAnsi="宋体" w:cs="宋体"/>
                <w:bCs/>
                <w:sz w:val="24"/>
                <w:szCs w:val="24"/>
              </w:rPr>
              <w:t>系统编码维护、病案基础维护、审核条件配置</w:t>
            </w:r>
          </w:p>
        </w:tc>
      </w:tr>
      <w:tr w14:paraId="437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14:paraId="326D0F4E">
            <w:pPr>
              <w:spacing w:line="336" w:lineRule="auto"/>
              <w:jc w:val="center"/>
              <w:rPr>
                <w:rFonts w:ascii="宋体" w:hAnsi="宋体" w:cs="宋体"/>
                <w:sz w:val="24"/>
                <w:szCs w:val="24"/>
              </w:rPr>
            </w:pPr>
          </w:p>
        </w:tc>
        <w:tc>
          <w:tcPr>
            <w:tcW w:w="1262" w:type="dxa"/>
            <w:vMerge w:val="continue"/>
          </w:tcPr>
          <w:p w14:paraId="16E45E3A">
            <w:pPr>
              <w:spacing w:line="336" w:lineRule="auto"/>
              <w:jc w:val="center"/>
              <w:rPr>
                <w:rFonts w:ascii="宋体" w:hAnsi="宋体" w:cs="宋体"/>
                <w:sz w:val="24"/>
                <w:szCs w:val="24"/>
              </w:rPr>
            </w:pPr>
          </w:p>
        </w:tc>
        <w:tc>
          <w:tcPr>
            <w:tcW w:w="1875" w:type="dxa"/>
          </w:tcPr>
          <w:p w14:paraId="5F719BEE">
            <w:pPr>
              <w:spacing w:line="336" w:lineRule="auto"/>
              <w:jc w:val="center"/>
              <w:rPr>
                <w:rFonts w:ascii="宋体" w:hAnsi="宋体" w:cs="宋体"/>
                <w:sz w:val="24"/>
                <w:szCs w:val="24"/>
              </w:rPr>
            </w:pPr>
            <w:r>
              <w:rPr>
                <w:rFonts w:hint="eastAsia" w:ascii="宋体" w:hAnsi="宋体" w:cs="宋体"/>
                <w:sz w:val="24"/>
                <w:szCs w:val="24"/>
              </w:rPr>
              <w:t>系统管理</w:t>
            </w:r>
          </w:p>
        </w:tc>
        <w:tc>
          <w:tcPr>
            <w:tcW w:w="5200" w:type="dxa"/>
          </w:tcPr>
          <w:p w14:paraId="3B71C102">
            <w:pPr>
              <w:spacing w:line="336" w:lineRule="auto"/>
              <w:jc w:val="left"/>
              <w:rPr>
                <w:rFonts w:ascii="宋体" w:hAnsi="宋体" w:cs="宋体"/>
                <w:sz w:val="24"/>
                <w:szCs w:val="24"/>
              </w:rPr>
            </w:pPr>
            <w:r>
              <w:rPr>
                <w:rFonts w:hint="eastAsia" w:ascii="宋体" w:hAnsi="宋体" w:cs="宋体"/>
                <w:bCs/>
                <w:sz w:val="24"/>
                <w:szCs w:val="24"/>
              </w:rPr>
              <w:t>管理员功能、系统配置功能、接口配置功能</w:t>
            </w:r>
          </w:p>
        </w:tc>
      </w:tr>
    </w:tbl>
    <w:p w14:paraId="4C3A4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2. 运维服务内容</w:t>
      </w:r>
    </w:p>
    <w:p w14:paraId="16885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4601A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2.2 </w:t>
      </w:r>
      <w:r>
        <w:rPr>
          <w:rFonts w:hint="eastAsia" w:ascii="宋体" w:hAnsi="宋体"/>
          <w:color w:val="000000"/>
          <w:sz w:val="24"/>
          <w:szCs w:val="20"/>
        </w:rPr>
        <w:t>系统突发事件的诊断、排除。</w:t>
      </w:r>
    </w:p>
    <w:p w14:paraId="2239F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2D13A3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7D28A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452B4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运维服务形式</w:t>
      </w:r>
    </w:p>
    <w:p w14:paraId="538A5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3.3 合同签订后，对于需方提出的任何运维服务，供方人员需严格填写运维服务记录单，并由双方签字认可。</w:t>
      </w:r>
    </w:p>
    <w:p w14:paraId="0623D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color w:val="000000"/>
          <w:sz w:val="24"/>
          <w:szCs w:val="20"/>
          <w:lang w:val="en-US" w:eastAsia="zh-CN"/>
        </w:rPr>
        <w:t>3.4 供方为需方提供电话技术支持服务要求为7×24小时。</w:t>
      </w:r>
    </w:p>
    <w:bookmarkEnd w:id="0"/>
    <w:bookmarkEnd w:id="1"/>
    <w:bookmarkEnd w:id="2"/>
    <w:bookmarkEnd w:id="3"/>
    <w:bookmarkEnd w:id="4"/>
    <w:bookmarkEnd w:id="5"/>
    <w:bookmarkEnd w:id="6"/>
    <w:bookmarkEnd w:id="7"/>
    <w:p w14:paraId="010B605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服务期限：合同签订之日起，服务期</w:t>
      </w:r>
      <w:r>
        <w:rPr>
          <w:rFonts w:hint="eastAsia" w:ascii="宋体" w:hAnsi="宋体" w:cs="Times New Roman"/>
          <w:b/>
          <w:bCs/>
          <w:color w:val="auto"/>
          <w:sz w:val="24"/>
          <w:szCs w:val="24"/>
          <w:lang w:val="en-US" w:eastAsia="zh-CN"/>
        </w:rPr>
        <w:t>壹</w:t>
      </w:r>
      <w:r>
        <w:rPr>
          <w:rFonts w:hint="eastAsia" w:ascii="宋体" w:hAnsi="宋体" w:eastAsia="宋体" w:cs="Times New Roman"/>
          <w:b/>
          <w:bCs/>
          <w:sz w:val="24"/>
          <w:szCs w:val="24"/>
          <w:lang w:val="en-US" w:eastAsia="zh-CN"/>
        </w:rPr>
        <w:t>年。</w:t>
      </w:r>
    </w:p>
    <w:p w14:paraId="0FC58E9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3D91DF2C">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方签订合同后，如中标单位服务符合合同要求，确认合同条款及服务承诺、培训、维修、巡检等执行无误时，需方按年对供方的运维工作完成情况进行验收。通过验收后，需方在收到供方开具的国家正规发票后，按年一次性予以支付当年运维服务费。</w:t>
      </w:r>
      <w:bookmarkStart w:id="8" w:name="_GoBack"/>
      <w:bookmarkEnd w:id="8"/>
    </w:p>
    <w:p w14:paraId="36D419F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4. 运维服务内容</w:t>
      </w:r>
    </w:p>
    <w:p w14:paraId="136596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2E605E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4.2 </w:t>
      </w:r>
      <w:r>
        <w:rPr>
          <w:rFonts w:hint="eastAsia" w:ascii="宋体" w:hAnsi="宋体"/>
          <w:color w:val="000000"/>
          <w:sz w:val="24"/>
          <w:szCs w:val="20"/>
        </w:rPr>
        <w:t>系统突发事件的诊断、排除。</w:t>
      </w:r>
    </w:p>
    <w:p w14:paraId="4F32B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684488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55C20E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73117B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56DFAEC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5. 运维服务形式</w:t>
      </w:r>
    </w:p>
    <w:p w14:paraId="59423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5.1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43D41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5.2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1BE5C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5.3 合同签订后，对于需方提出的任何运维服务，供方人员需严格填写运维服务记录单，并由双方签字认可。</w:t>
      </w:r>
    </w:p>
    <w:p w14:paraId="7CB54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color w:val="000000"/>
          <w:sz w:val="24"/>
          <w:szCs w:val="20"/>
          <w:lang w:val="en-US" w:eastAsia="zh-CN"/>
        </w:rPr>
        <w:t>5.4 供方为需方提供电话技术支持服务要求为7×24小时。</w:t>
      </w:r>
    </w:p>
    <w:p w14:paraId="50C5AA32">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cs="Times New Roman"/>
          <w:b/>
          <w:bCs/>
          <w:sz w:val="24"/>
          <w:szCs w:val="24"/>
          <w:lang w:val="en-US" w:eastAsia="zh-CN"/>
        </w:rPr>
        <w:t>6.</w:t>
      </w:r>
      <w:r>
        <w:rPr>
          <w:rFonts w:hint="eastAsia" w:ascii="宋体" w:hAnsi="宋体" w:eastAsia="宋体" w:cs="Times New Roman"/>
          <w:b/>
          <w:bCs/>
          <w:sz w:val="24"/>
          <w:szCs w:val="24"/>
          <w:lang w:val="en-US" w:eastAsia="zh-CN"/>
        </w:rPr>
        <w:t xml:space="preserve">违约责任： </w:t>
      </w:r>
    </w:p>
    <w:p w14:paraId="37626DB3">
      <w:pPr>
        <w:keepNext w:val="0"/>
        <w:keepLines w:val="0"/>
        <w:pageBreakBefore w:val="0"/>
        <w:widowControl w:val="0"/>
        <w:kinsoku/>
        <w:wordWrap/>
        <w:overflowPunct/>
        <w:topLinePunct w:val="0"/>
        <w:autoSpaceDE/>
        <w:autoSpaceDN/>
        <w:bidi w:val="0"/>
        <w:adjustRightInd/>
        <w:snapToGrid/>
        <w:spacing w:before="68" w:after="68" w:line="360" w:lineRule="auto"/>
        <w:ind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6.1中标方提供服务不符合合同约定，</w:t>
      </w:r>
      <w:r>
        <w:rPr>
          <w:rFonts w:hint="eastAsia" w:ascii="宋体" w:hAnsi="宋体" w:cs="宋体"/>
          <w:sz w:val="24"/>
          <w:szCs w:val="24"/>
        </w:rPr>
        <w:t>造成</w:t>
      </w:r>
      <w:r>
        <w:rPr>
          <w:rFonts w:hint="eastAsia" w:ascii="宋体" w:hAnsi="宋体" w:cs="宋体"/>
          <w:sz w:val="24"/>
          <w:szCs w:val="24"/>
          <w:lang w:eastAsia="zh-CN"/>
        </w:rPr>
        <w:t>需</w:t>
      </w:r>
      <w:r>
        <w:rPr>
          <w:rFonts w:hint="eastAsia" w:ascii="宋体" w:hAnsi="宋体" w:cs="宋体"/>
          <w:sz w:val="24"/>
          <w:szCs w:val="24"/>
        </w:rPr>
        <w:t>方无法正常使用合同约定的系统软件，应向</w:t>
      </w:r>
      <w:r>
        <w:rPr>
          <w:rFonts w:hint="eastAsia" w:ascii="宋体" w:hAnsi="宋体" w:cs="宋体"/>
          <w:sz w:val="24"/>
          <w:szCs w:val="24"/>
          <w:lang w:eastAsia="zh-CN"/>
        </w:rPr>
        <w:t>需</w:t>
      </w:r>
      <w:r>
        <w:rPr>
          <w:rFonts w:hint="eastAsia" w:ascii="宋体" w:hAnsi="宋体" w:cs="宋体"/>
          <w:sz w:val="24"/>
          <w:szCs w:val="24"/>
        </w:rPr>
        <w:t>方支付合同约定的运维服务费的5‰作为违约金</w:t>
      </w:r>
      <w:r>
        <w:rPr>
          <w:rFonts w:hint="eastAsia" w:ascii="宋体" w:hAnsi="宋体" w:cs="宋体"/>
          <w:sz w:val="24"/>
          <w:szCs w:val="24"/>
          <w:lang w:eastAsia="zh-CN"/>
        </w:rPr>
        <w:t>。</w:t>
      </w:r>
    </w:p>
    <w:p w14:paraId="1D119596">
      <w:pPr>
        <w:keepNext w:val="0"/>
        <w:keepLines w:val="0"/>
        <w:pageBreakBefore w:val="0"/>
        <w:widowControl w:val="0"/>
        <w:kinsoku/>
        <w:wordWrap/>
        <w:overflowPunct/>
        <w:topLinePunct w:val="0"/>
        <w:autoSpaceDE/>
        <w:autoSpaceDN/>
        <w:bidi w:val="0"/>
        <w:adjustRightInd/>
        <w:snapToGrid/>
        <w:spacing w:before="68" w:after="68"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6.2中标方未按照合同约定完成定期巡检服务，应向需方支付合同总额20%（百分之二十）的违约金。   </w:t>
      </w:r>
    </w:p>
    <w:p w14:paraId="5768D291">
      <w:pPr>
        <w:keepNext w:val="0"/>
        <w:keepLines w:val="0"/>
        <w:pageBreakBefore w:val="0"/>
        <w:widowControl w:val="0"/>
        <w:kinsoku/>
        <w:wordWrap/>
        <w:overflowPunct/>
        <w:topLinePunct w:val="0"/>
        <w:autoSpaceDE/>
        <w:autoSpaceDN/>
        <w:bidi w:val="0"/>
        <w:adjustRightInd/>
        <w:snapToGrid/>
        <w:spacing w:before="68" w:after="68"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6.3中标方未在规定期间完成呼叫响应服务，每次应向需方支付合同总金额3‰（千分之三）的违约金。</w:t>
      </w:r>
    </w:p>
    <w:p w14:paraId="2229A3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sectPr>
      <w:headerReference r:id="rId3" w:type="default"/>
      <w:footerReference r:id="rId4" w:type="default"/>
      <w:pgSz w:w="11906" w:h="16838"/>
      <w:pgMar w:top="1497"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D08">
    <w:pPr>
      <w:pStyle w:val="14"/>
      <w:framePr w:h="313" w:hRule="exact" w:wrap="around" w:vAnchor="text" w:hAnchor="page" w:x="5941" w:y="373"/>
      <w:rPr>
        <w:rStyle w:val="25"/>
      </w:rPr>
    </w:pPr>
    <w:r>
      <w:fldChar w:fldCharType="begin"/>
    </w:r>
    <w:r>
      <w:rPr>
        <w:rStyle w:val="25"/>
      </w:rPr>
      <w:instrText xml:space="preserve">PAGE  </w:instrText>
    </w:r>
    <w:r>
      <w:fldChar w:fldCharType="separate"/>
    </w:r>
    <w:r>
      <w:rPr>
        <w:rStyle w:val="25"/>
      </w:rPr>
      <w:t>24</w:t>
    </w:r>
    <w:r>
      <w:fldChar w:fldCharType="end"/>
    </w:r>
  </w:p>
  <w:p w14:paraId="328607D4">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62B0">
    <w:pPr>
      <w:pStyle w:val="13"/>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2">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544ED3CB"/>
    <w:multiLevelType w:val="singleLevel"/>
    <w:tmpl w:val="544ED3C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WUxZDI4NWUwZDc1MDA5NDczNGIzM2UyZGUzNjcifQ=="/>
  </w:docVars>
  <w:rsids>
    <w:rsidRoot w:val="00A64542"/>
    <w:rsid w:val="001025E8"/>
    <w:rsid w:val="002122A8"/>
    <w:rsid w:val="00321813"/>
    <w:rsid w:val="003C0068"/>
    <w:rsid w:val="0050770B"/>
    <w:rsid w:val="00787EF9"/>
    <w:rsid w:val="009F7D31"/>
    <w:rsid w:val="00A64542"/>
    <w:rsid w:val="00BE27CC"/>
    <w:rsid w:val="00C0214D"/>
    <w:rsid w:val="00D46B6E"/>
    <w:rsid w:val="00F70A4E"/>
    <w:rsid w:val="051F00E1"/>
    <w:rsid w:val="0599461D"/>
    <w:rsid w:val="06064F20"/>
    <w:rsid w:val="061728A1"/>
    <w:rsid w:val="06DF0342"/>
    <w:rsid w:val="081D4AB5"/>
    <w:rsid w:val="08612389"/>
    <w:rsid w:val="091A7DE1"/>
    <w:rsid w:val="0AFE1CAE"/>
    <w:rsid w:val="0C3B65AE"/>
    <w:rsid w:val="0CF62DFF"/>
    <w:rsid w:val="0D3970EE"/>
    <w:rsid w:val="0DB177E0"/>
    <w:rsid w:val="0DCB589F"/>
    <w:rsid w:val="0DDB1EC9"/>
    <w:rsid w:val="0E271223"/>
    <w:rsid w:val="0E2C514F"/>
    <w:rsid w:val="0F8120BC"/>
    <w:rsid w:val="10145C31"/>
    <w:rsid w:val="102368B0"/>
    <w:rsid w:val="108860D4"/>
    <w:rsid w:val="12392489"/>
    <w:rsid w:val="136A3702"/>
    <w:rsid w:val="13A40CAB"/>
    <w:rsid w:val="16141638"/>
    <w:rsid w:val="16625F01"/>
    <w:rsid w:val="169C639C"/>
    <w:rsid w:val="16DB7F7D"/>
    <w:rsid w:val="1741124E"/>
    <w:rsid w:val="17905FFB"/>
    <w:rsid w:val="191A5904"/>
    <w:rsid w:val="1B715038"/>
    <w:rsid w:val="1C83107B"/>
    <w:rsid w:val="1CDE3150"/>
    <w:rsid w:val="1E610302"/>
    <w:rsid w:val="1EB2266E"/>
    <w:rsid w:val="20327DD6"/>
    <w:rsid w:val="20C4580A"/>
    <w:rsid w:val="21F60A45"/>
    <w:rsid w:val="2238092F"/>
    <w:rsid w:val="230E1BE0"/>
    <w:rsid w:val="238B3C47"/>
    <w:rsid w:val="24005213"/>
    <w:rsid w:val="2486064D"/>
    <w:rsid w:val="24C456C9"/>
    <w:rsid w:val="254E1737"/>
    <w:rsid w:val="26852E87"/>
    <w:rsid w:val="26AC7774"/>
    <w:rsid w:val="26BB6022"/>
    <w:rsid w:val="282525ED"/>
    <w:rsid w:val="28677399"/>
    <w:rsid w:val="28CA13F8"/>
    <w:rsid w:val="2B1668DA"/>
    <w:rsid w:val="2C00452F"/>
    <w:rsid w:val="2C8C73B1"/>
    <w:rsid w:val="2D8C4FDE"/>
    <w:rsid w:val="2E2E6DCD"/>
    <w:rsid w:val="30245C31"/>
    <w:rsid w:val="30B0295B"/>
    <w:rsid w:val="347148D3"/>
    <w:rsid w:val="348B25B2"/>
    <w:rsid w:val="350356A7"/>
    <w:rsid w:val="36BD22BD"/>
    <w:rsid w:val="37551BF4"/>
    <w:rsid w:val="37D934B3"/>
    <w:rsid w:val="38CB0D21"/>
    <w:rsid w:val="3A2B6386"/>
    <w:rsid w:val="3C597BAD"/>
    <w:rsid w:val="3C8D4884"/>
    <w:rsid w:val="3D955400"/>
    <w:rsid w:val="3DE05FE2"/>
    <w:rsid w:val="3F235B23"/>
    <w:rsid w:val="3F821E9A"/>
    <w:rsid w:val="3F941B1D"/>
    <w:rsid w:val="402173F7"/>
    <w:rsid w:val="431A35CF"/>
    <w:rsid w:val="44090EB3"/>
    <w:rsid w:val="44B87179"/>
    <w:rsid w:val="453871A0"/>
    <w:rsid w:val="46336C3B"/>
    <w:rsid w:val="464B37AD"/>
    <w:rsid w:val="476067BD"/>
    <w:rsid w:val="47950C08"/>
    <w:rsid w:val="48305E49"/>
    <w:rsid w:val="487979E9"/>
    <w:rsid w:val="48CC2178"/>
    <w:rsid w:val="491C44B1"/>
    <w:rsid w:val="49C0092E"/>
    <w:rsid w:val="49D86FD2"/>
    <w:rsid w:val="4BC96511"/>
    <w:rsid w:val="4D380603"/>
    <w:rsid w:val="4DC1731C"/>
    <w:rsid w:val="4DCC02C5"/>
    <w:rsid w:val="4E8A1B7D"/>
    <w:rsid w:val="4F0D32D1"/>
    <w:rsid w:val="4F104A54"/>
    <w:rsid w:val="5269516B"/>
    <w:rsid w:val="54093B30"/>
    <w:rsid w:val="54831056"/>
    <w:rsid w:val="552B7359"/>
    <w:rsid w:val="564D0522"/>
    <w:rsid w:val="568850AA"/>
    <w:rsid w:val="59D44ABA"/>
    <w:rsid w:val="5A6A4F4A"/>
    <w:rsid w:val="5AA70A4F"/>
    <w:rsid w:val="5AEB0587"/>
    <w:rsid w:val="5B086CF4"/>
    <w:rsid w:val="5B0C7F15"/>
    <w:rsid w:val="5B110A00"/>
    <w:rsid w:val="5C270818"/>
    <w:rsid w:val="5C66680A"/>
    <w:rsid w:val="5CBC3DBB"/>
    <w:rsid w:val="5DC73958"/>
    <w:rsid w:val="5E731E54"/>
    <w:rsid w:val="5EB63EB8"/>
    <w:rsid w:val="5EEC72E9"/>
    <w:rsid w:val="60A049F1"/>
    <w:rsid w:val="611543CE"/>
    <w:rsid w:val="61A6316C"/>
    <w:rsid w:val="61E20ACB"/>
    <w:rsid w:val="623A0D7A"/>
    <w:rsid w:val="63044BA0"/>
    <w:rsid w:val="636B2AC1"/>
    <w:rsid w:val="643070C4"/>
    <w:rsid w:val="651A47AE"/>
    <w:rsid w:val="662C6830"/>
    <w:rsid w:val="66794318"/>
    <w:rsid w:val="66BD5021"/>
    <w:rsid w:val="66CF494E"/>
    <w:rsid w:val="6AB864C2"/>
    <w:rsid w:val="6B245BBF"/>
    <w:rsid w:val="6B5C1C7B"/>
    <w:rsid w:val="6CD50D4F"/>
    <w:rsid w:val="6CF91A86"/>
    <w:rsid w:val="6D527B5B"/>
    <w:rsid w:val="6E031CDC"/>
    <w:rsid w:val="6E6B17D2"/>
    <w:rsid w:val="6ED5389E"/>
    <w:rsid w:val="6F7F3AFC"/>
    <w:rsid w:val="6FE567C2"/>
    <w:rsid w:val="70443BE2"/>
    <w:rsid w:val="70B54E6C"/>
    <w:rsid w:val="71123A97"/>
    <w:rsid w:val="71BA10A6"/>
    <w:rsid w:val="71F85C08"/>
    <w:rsid w:val="73780EBB"/>
    <w:rsid w:val="739666FD"/>
    <w:rsid w:val="75C626F3"/>
    <w:rsid w:val="776B36AB"/>
    <w:rsid w:val="77B914D8"/>
    <w:rsid w:val="7931708B"/>
    <w:rsid w:val="7A803B81"/>
    <w:rsid w:val="7E053E0E"/>
    <w:rsid w:val="7E191CAF"/>
    <w:rsid w:val="7E1C7B8D"/>
    <w:rsid w:val="7E9C2DAC"/>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link w:val="39"/>
    <w:autoRedefine/>
    <w:qFormat/>
    <w:uiPriority w:val="0"/>
    <w:pPr>
      <w:keepNext/>
      <w:keepLines/>
      <w:spacing w:before="260" w:after="260" w:line="416" w:lineRule="auto"/>
      <w:outlineLvl w:val="2"/>
    </w:pPr>
    <w:rPr>
      <w:b/>
      <w:sz w:val="32"/>
      <w:szCs w:val="20"/>
    </w:rPr>
  </w:style>
  <w:style w:type="paragraph" w:styleId="6">
    <w:name w:val="heading 4"/>
    <w:basedOn w:val="1"/>
    <w:next w:val="1"/>
    <w:autoRedefine/>
    <w:qFormat/>
    <w:uiPriority w:val="0"/>
    <w:pPr>
      <w:keepNext/>
      <w:keepLines/>
      <w:numPr>
        <w:ilvl w:val="3"/>
        <w:numId w:val="2"/>
      </w:numPr>
      <w:spacing w:before="280" w:beforeLines="0" w:after="290" w:afterLines="0" w:line="376" w:lineRule="auto"/>
      <w:outlineLvl w:val="3"/>
    </w:pPr>
    <w:rPr>
      <w:rFonts w:ascii="Arial" w:hAnsi="Arial" w:eastAsia="黑体"/>
      <w:b/>
      <w:bCs/>
      <w:kern w:val="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ind w:firstLine="420"/>
    </w:pPr>
    <w:rPr>
      <w:rFonts w:asciiTheme="minorHAnsi" w:hAnsiTheme="minorHAnsi" w:eastAsiaTheme="minorEastAsia" w:cstheme="minorBidi"/>
      <w:szCs w:val="22"/>
    </w:rPr>
  </w:style>
  <w:style w:type="paragraph" w:styleId="7">
    <w:name w:val="annotation text"/>
    <w:basedOn w:val="1"/>
    <w:autoRedefine/>
    <w:qFormat/>
    <w:uiPriority w:val="0"/>
    <w:pPr>
      <w:jc w:val="left"/>
    </w:pPr>
  </w:style>
  <w:style w:type="paragraph" w:styleId="8">
    <w:name w:val="Body Text"/>
    <w:basedOn w:val="1"/>
    <w:next w:val="9"/>
    <w:link w:val="47"/>
    <w:autoRedefine/>
    <w:qFormat/>
    <w:uiPriority w:val="0"/>
    <w:pPr>
      <w:spacing w:after="120"/>
    </w:pPr>
    <w:rPr>
      <w:rFonts w:asciiTheme="minorHAnsi" w:hAnsiTheme="minorHAnsi" w:eastAsiaTheme="minorEastAsia" w:cstheme="minorBidi"/>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autoRedefine/>
    <w:qFormat/>
    <w:uiPriority w:val="0"/>
    <w:pPr>
      <w:widowControl/>
      <w:spacing w:after="120" w:line="240" w:lineRule="auto"/>
      <w:ind w:left="200" w:leftChars="200"/>
      <w:jc w:val="left"/>
    </w:pPr>
    <w:rPr>
      <w:rFonts w:ascii="Calibri" w:hAnsi="Calibri" w:eastAsia="宋体" w:cs="Times New Roman"/>
      <w:kern w:val="0"/>
      <w:sz w:val="24"/>
      <w:szCs w:val="24"/>
    </w:rPr>
  </w:style>
  <w:style w:type="paragraph" w:styleId="12">
    <w:name w:val="envelope return"/>
    <w:basedOn w:val="1"/>
    <w:unhideWhenUsed/>
    <w:qFormat/>
    <w:uiPriority w:val="99"/>
    <w:rPr>
      <w:rFonts w:ascii="Arial" w:hAnsi="Arial"/>
    </w:rPr>
  </w:style>
  <w:style w:type="paragraph" w:styleId="13">
    <w:name w:val="Plain Text"/>
    <w:basedOn w:val="1"/>
    <w:link w:val="50"/>
    <w:autoRedefine/>
    <w:qFormat/>
    <w:uiPriority w:val="0"/>
    <w:rPr>
      <w:rFonts w:ascii="宋体" w:hAnsi="Courier New" w:cs="Courier New"/>
      <w:szCs w:val="21"/>
    </w:rPr>
  </w:style>
  <w:style w:type="paragraph" w:styleId="14">
    <w:name w:val="footer"/>
    <w:basedOn w:val="1"/>
    <w:link w:val="49"/>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4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Body Text Indent 3"/>
    <w:basedOn w:val="1"/>
    <w:link w:val="51"/>
    <w:autoRedefine/>
    <w:qFormat/>
    <w:uiPriority w:val="0"/>
    <w:pPr>
      <w:spacing w:after="120"/>
      <w:ind w:left="420" w:leftChars="200"/>
    </w:pPr>
    <w:rPr>
      <w:rFonts w:asciiTheme="minorHAnsi" w:hAnsiTheme="minorHAnsi" w:eastAsiaTheme="minorEastAsia" w:cstheme="minorBidi"/>
      <w:sz w:val="16"/>
      <w:szCs w:val="16"/>
    </w:rPr>
  </w:style>
  <w:style w:type="paragraph" w:styleId="17">
    <w:name w:val="Normal (Web)"/>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paragraph" w:styleId="18">
    <w:name w:val="annotation subject"/>
    <w:basedOn w:val="7"/>
    <w:next w:val="1"/>
    <w:autoRedefine/>
    <w:unhideWhenUsed/>
    <w:qFormat/>
    <w:uiPriority w:val="99"/>
    <w:rPr>
      <w:b/>
      <w:bCs/>
    </w:rPr>
  </w:style>
  <w:style w:type="paragraph" w:styleId="19">
    <w:name w:val="Body Text First Indent"/>
    <w:basedOn w:val="8"/>
    <w:next w:val="1"/>
    <w:link w:val="52"/>
    <w:autoRedefine/>
    <w:qFormat/>
    <w:uiPriority w:val="0"/>
    <w:pPr>
      <w:ind w:firstLine="420"/>
    </w:pPr>
    <w:rPr>
      <w:rFonts w:eastAsia="楷体_GB2312"/>
      <w:sz w:val="32"/>
    </w:rPr>
  </w:style>
  <w:style w:type="paragraph" w:styleId="20">
    <w:name w:val="Body Text First Indent 2"/>
    <w:basedOn w:val="11"/>
    <w:next w:val="1"/>
    <w:autoRedefine/>
    <w:qFormat/>
    <w:uiPriority w:val="0"/>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333333"/>
      <w:u w:val="none"/>
    </w:rPr>
  </w:style>
  <w:style w:type="character" w:styleId="27">
    <w:name w:val="Emphasis"/>
    <w:basedOn w:val="23"/>
    <w:autoRedefine/>
    <w:qFormat/>
    <w:uiPriority w:val="20"/>
  </w:style>
  <w:style w:type="character" w:styleId="28">
    <w:name w:val="HTML Definition"/>
    <w:basedOn w:val="23"/>
    <w:autoRedefine/>
    <w:semiHidden/>
    <w:unhideWhenUsed/>
    <w:qFormat/>
    <w:uiPriority w:val="99"/>
  </w:style>
  <w:style w:type="character" w:styleId="29">
    <w:name w:val="HTML Typewriter"/>
    <w:basedOn w:val="23"/>
    <w:autoRedefine/>
    <w:semiHidden/>
    <w:unhideWhenUsed/>
    <w:qFormat/>
    <w:uiPriority w:val="99"/>
    <w:rPr>
      <w:rFonts w:hint="default" w:ascii="monospace" w:hAnsi="monospace" w:eastAsia="monospace" w:cs="monospace"/>
      <w:sz w:val="20"/>
    </w:rPr>
  </w:style>
  <w:style w:type="character" w:styleId="30">
    <w:name w:val="HTML Acronym"/>
    <w:basedOn w:val="23"/>
    <w:autoRedefine/>
    <w:semiHidden/>
    <w:unhideWhenUsed/>
    <w:qFormat/>
    <w:uiPriority w:val="99"/>
  </w:style>
  <w:style w:type="character" w:styleId="31">
    <w:name w:val="HTML Variable"/>
    <w:basedOn w:val="23"/>
    <w:autoRedefine/>
    <w:semiHidden/>
    <w:unhideWhenUsed/>
    <w:qFormat/>
    <w:uiPriority w:val="99"/>
  </w:style>
  <w:style w:type="character" w:styleId="32">
    <w:name w:val="Hyperlink"/>
    <w:basedOn w:val="23"/>
    <w:autoRedefine/>
    <w:semiHidden/>
    <w:unhideWhenUsed/>
    <w:qFormat/>
    <w:uiPriority w:val="99"/>
    <w:rPr>
      <w:color w:val="333333"/>
      <w:u w:val="none"/>
    </w:rPr>
  </w:style>
  <w:style w:type="character" w:styleId="33">
    <w:name w:val="HTML Code"/>
    <w:basedOn w:val="23"/>
    <w:autoRedefine/>
    <w:semiHidden/>
    <w:unhideWhenUsed/>
    <w:qFormat/>
    <w:uiPriority w:val="99"/>
    <w:rPr>
      <w:rFonts w:hint="default" w:ascii="monospace" w:hAnsi="monospace" w:eastAsia="monospace" w:cs="monospace"/>
      <w:sz w:val="20"/>
    </w:rPr>
  </w:style>
  <w:style w:type="character" w:styleId="34">
    <w:name w:val="HTML Cite"/>
    <w:basedOn w:val="23"/>
    <w:autoRedefine/>
    <w:semiHidden/>
    <w:unhideWhenUsed/>
    <w:qFormat/>
    <w:uiPriority w:val="99"/>
  </w:style>
  <w:style w:type="character" w:styleId="35">
    <w:name w:val="HTML Keyboard"/>
    <w:basedOn w:val="23"/>
    <w:autoRedefine/>
    <w:semiHidden/>
    <w:unhideWhenUsed/>
    <w:qFormat/>
    <w:uiPriority w:val="99"/>
    <w:rPr>
      <w:rFonts w:hint="default" w:ascii="monospace" w:hAnsi="monospace" w:eastAsia="monospace" w:cs="monospace"/>
      <w:sz w:val="20"/>
    </w:rPr>
  </w:style>
  <w:style w:type="character" w:styleId="36">
    <w:name w:val="HTML Sample"/>
    <w:basedOn w:val="23"/>
    <w:autoRedefine/>
    <w:semiHidden/>
    <w:unhideWhenUsed/>
    <w:qFormat/>
    <w:uiPriority w:val="99"/>
    <w:rPr>
      <w:rFonts w:ascii="monospace" w:hAnsi="monospace" w:eastAsia="monospace" w:cs="monospace"/>
    </w:rPr>
  </w:style>
  <w:style w:type="paragraph" w:customStyle="1" w:styleId="37">
    <w:name w:val="样式 首行缩进:  2 字符"/>
    <w:basedOn w:val="1"/>
    <w:autoRedefine/>
    <w:qFormat/>
    <w:uiPriority w:val="0"/>
    <w:pPr>
      <w:ind w:firstLine="560"/>
    </w:pPr>
    <w:rPr>
      <w:rFonts w:eastAsia="仿宋_GB2312" w:cs="宋体"/>
      <w:szCs w:val="20"/>
    </w:rPr>
  </w:style>
  <w:style w:type="character" w:customStyle="1" w:styleId="38">
    <w:name w:val="标题 2 Char"/>
    <w:basedOn w:val="23"/>
    <w:link w:val="3"/>
    <w:autoRedefine/>
    <w:qFormat/>
    <w:uiPriority w:val="0"/>
    <w:rPr>
      <w:rFonts w:ascii="Arial" w:hAnsi="Arial" w:eastAsia="黑体" w:cs="Times New Roman"/>
      <w:b/>
      <w:sz w:val="32"/>
      <w:szCs w:val="20"/>
    </w:rPr>
  </w:style>
  <w:style w:type="character" w:customStyle="1" w:styleId="39">
    <w:name w:val="标题 3 Char"/>
    <w:basedOn w:val="23"/>
    <w:link w:val="4"/>
    <w:autoRedefine/>
    <w:qFormat/>
    <w:uiPriority w:val="0"/>
    <w:rPr>
      <w:rFonts w:ascii="Times New Roman" w:hAnsi="Times New Roman" w:eastAsia="宋体" w:cs="Times New Roman"/>
      <w:b/>
      <w:sz w:val="32"/>
      <w:szCs w:val="20"/>
    </w:rPr>
  </w:style>
  <w:style w:type="character" w:customStyle="1" w:styleId="40">
    <w:name w:val="正文文本缩进 3 Char"/>
    <w:link w:val="16"/>
    <w:autoRedefine/>
    <w:qFormat/>
    <w:uiPriority w:val="0"/>
    <w:rPr>
      <w:sz w:val="16"/>
      <w:szCs w:val="16"/>
    </w:rPr>
  </w:style>
  <w:style w:type="character" w:customStyle="1" w:styleId="41">
    <w:name w:val="页脚 Char"/>
    <w:link w:val="14"/>
    <w:autoRedefine/>
    <w:qFormat/>
    <w:uiPriority w:val="99"/>
    <w:rPr>
      <w:rFonts w:eastAsia="宋体"/>
      <w:sz w:val="18"/>
      <w:szCs w:val="18"/>
    </w:rPr>
  </w:style>
  <w:style w:type="character" w:customStyle="1" w:styleId="42">
    <w:name w:val="页眉 Char"/>
    <w:link w:val="15"/>
    <w:autoRedefine/>
    <w:qFormat/>
    <w:uiPriority w:val="99"/>
    <w:rPr>
      <w:sz w:val="18"/>
      <w:szCs w:val="18"/>
    </w:rPr>
  </w:style>
  <w:style w:type="character" w:customStyle="1" w:styleId="43">
    <w:name w:val="正文缩进 Char"/>
    <w:link w:val="5"/>
    <w:autoRedefine/>
    <w:qFormat/>
    <w:locked/>
    <w:uiPriority w:val="0"/>
  </w:style>
  <w:style w:type="character" w:customStyle="1" w:styleId="44">
    <w:name w:val="纯文本 Char1"/>
    <w:link w:val="13"/>
    <w:autoRedefine/>
    <w:qFormat/>
    <w:uiPriority w:val="0"/>
    <w:rPr>
      <w:rFonts w:ascii="宋体" w:hAnsi="Courier New" w:eastAsia="宋体" w:cs="Courier New"/>
      <w:szCs w:val="21"/>
    </w:rPr>
  </w:style>
  <w:style w:type="character" w:customStyle="1" w:styleId="45">
    <w:name w:val="正文文本 Char"/>
    <w:link w:val="8"/>
    <w:autoRedefine/>
    <w:qFormat/>
    <w:uiPriority w:val="0"/>
    <w:rPr>
      <w:szCs w:val="24"/>
    </w:rPr>
  </w:style>
  <w:style w:type="character" w:customStyle="1" w:styleId="46">
    <w:name w:val="正文首行缩进 Char"/>
    <w:link w:val="19"/>
    <w:autoRedefine/>
    <w:qFormat/>
    <w:uiPriority w:val="0"/>
    <w:rPr>
      <w:rFonts w:eastAsia="楷体_GB2312"/>
      <w:sz w:val="32"/>
      <w:szCs w:val="24"/>
    </w:rPr>
  </w:style>
  <w:style w:type="character" w:customStyle="1" w:styleId="47">
    <w:name w:val="正文文本 Char1"/>
    <w:basedOn w:val="23"/>
    <w:link w:val="8"/>
    <w:autoRedefine/>
    <w:semiHidden/>
    <w:qFormat/>
    <w:uiPriority w:val="99"/>
    <w:rPr>
      <w:rFonts w:ascii="Times New Roman" w:hAnsi="Times New Roman" w:eastAsia="宋体" w:cs="Times New Roman"/>
      <w:szCs w:val="24"/>
    </w:rPr>
  </w:style>
  <w:style w:type="character" w:customStyle="1" w:styleId="48">
    <w:name w:val="页眉 Char1"/>
    <w:basedOn w:val="23"/>
    <w:link w:val="15"/>
    <w:autoRedefine/>
    <w:semiHidden/>
    <w:qFormat/>
    <w:uiPriority w:val="99"/>
    <w:rPr>
      <w:rFonts w:ascii="Times New Roman" w:hAnsi="Times New Roman" w:eastAsia="宋体" w:cs="Times New Roman"/>
      <w:sz w:val="18"/>
      <w:szCs w:val="18"/>
    </w:rPr>
  </w:style>
  <w:style w:type="character" w:customStyle="1" w:styleId="49">
    <w:name w:val="页脚 Char1"/>
    <w:basedOn w:val="23"/>
    <w:link w:val="14"/>
    <w:autoRedefine/>
    <w:semiHidden/>
    <w:qFormat/>
    <w:uiPriority w:val="99"/>
    <w:rPr>
      <w:rFonts w:ascii="Times New Roman" w:hAnsi="Times New Roman" w:eastAsia="宋体" w:cs="Times New Roman"/>
      <w:sz w:val="18"/>
      <w:szCs w:val="18"/>
    </w:rPr>
  </w:style>
  <w:style w:type="character" w:customStyle="1" w:styleId="50">
    <w:name w:val="纯文本 Char"/>
    <w:basedOn w:val="23"/>
    <w:link w:val="13"/>
    <w:autoRedefine/>
    <w:semiHidden/>
    <w:qFormat/>
    <w:uiPriority w:val="99"/>
    <w:rPr>
      <w:rFonts w:ascii="宋体" w:hAnsi="Courier New" w:eastAsia="宋体" w:cs="Courier New"/>
      <w:szCs w:val="21"/>
    </w:rPr>
  </w:style>
  <w:style w:type="character" w:customStyle="1" w:styleId="51">
    <w:name w:val="正文文本缩进 3 Char1"/>
    <w:basedOn w:val="23"/>
    <w:link w:val="16"/>
    <w:autoRedefine/>
    <w:semiHidden/>
    <w:qFormat/>
    <w:uiPriority w:val="99"/>
    <w:rPr>
      <w:rFonts w:ascii="Times New Roman" w:hAnsi="Times New Roman" w:eastAsia="宋体" w:cs="Times New Roman"/>
      <w:sz w:val="16"/>
      <w:szCs w:val="16"/>
    </w:rPr>
  </w:style>
  <w:style w:type="character" w:customStyle="1" w:styleId="52">
    <w:name w:val="正文首行缩进 Char1"/>
    <w:basedOn w:val="47"/>
    <w:link w:val="19"/>
    <w:autoRedefine/>
    <w:semiHidden/>
    <w:qFormat/>
    <w:uiPriority w:val="99"/>
  </w:style>
  <w:style w:type="paragraph" w:customStyle="1" w:styleId="53">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54">
    <w:name w:val="List Paragraph"/>
    <w:basedOn w:val="1"/>
    <w:autoRedefine/>
    <w:qFormat/>
    <w:uiPriority w:val="34"/>
    <w:pPr>
      <w:ind w:firstLine="420" w:firstLineChars="200"/>
    </w:pPr>
  </w:style>
  <w:style w:type="paragraph" w:customStyle="1" w:styleId="55">
    <w:name w:val="样式1"/>
    <w:basedOn w:val="15"/>
    <w:next w:val="6"/>
    <w:autoRedefine/>
    <w:qFormat/>
    <w:uiPriority w:val="0"/>
    <w:pPr>
      <w:ind w:firstLine="200"/>
    </w:pPr>
  </w:style>
  <w:style w:type="paragraph" w:customStyle="1" w:styleId="56">
    <w:name w:val="WPSOffice手动目录 1"/>
    <w:autoRedefine/>
    <w:qFormat/>
    <w:uiPriority w:val="0"/>
    <w:pPr>
      <w:ind w:leftChars="0"/>
    </w:pPr>
    <w:rPr>
      <w:rFonts w:ascii="Calibri" w:hAnsi="Calibri" w:eastAsia="宋体" w:cs="Times New Roman"/>
      <w:sz w:val="20"/>
      <w:szCs w:val="20"/>
    </w:rPr>
  </w:style>
  <w:style w:type="character" w:customStyle="1" w:styleId="57">
    <w:name w:val="first-child"/>
    <w:basedOn w:val="23"/>
    <w:autoRedefine/>
    <w:qFormat/>
    <w:uiPriority w:val="0"/>
    <w:rPr>
      <w:sz w:val="24"/>
      <w:szCs w:val="24"/>
    </w:rPr>
  </w:style>
  <w:style w:type="character" w:customStyle="1" w:styleId="58">
    <w:name w:val="first-child1"/>
    <w:basedOn w:val="23"/>
    <w:autoRedefine/>
    <w:qFormat/>
    <w:uiPriority w:val="0"/>
    <w:rPr>
      <w:color w:val="999999"/>
    </w:rPr>
  </w:style>
  <w:style w:type="character" w:customStyle="1" w:styleId="59">
    <w:name w:val="first-child2"/>
    <w:basedOn w:val="23"/>
    <w:autoRedefine/>
    <w:qFormat/>
    <w:uiPriority w:val="0"/>
    <w:rPr>
      <w:sz w:val="24"/>
      <w:szCs w:val="24"/>
    </w:rPr>
  </w:style>
  <w:style w:type="character" w:customStyle="1" w:styleId="60">
    <w:name w:val="first-child3"/>
    <w:basedOn w:val="23"/>
    <w:autoRedefine/>
    <w:qFormat/>
    <w:uiPriority w:val="0"/>
    <w:rPr>
      <w:rFonts w:ascii="Arial" w:hAnsi="Arial" w:cs="Arial"/>
      <w:sz w:val="57"/>
      <w:szCs w:val="57"/>
    </w:rPr>
  </w:style>
  <w:style w:type="paragraph" w:customStyle="1" w:styleId="61">
    <w:name w:val="列出段落11"/>
    <w:basedOn w:val="1"/>
    <w:autoRedefine/>
    <w:qFormat/>
    <w:uiPriority w:val="0"/>
    <w:pPr>
      <w:ind w:firstLine="420"/>
    </w:pPr>
  </w:style>
  <w:style w:type="paragraph" w:customStyle="1" w:styleId="62">
    <w:name w:val="首行缩进"/>
    <w:basedOn w:val="1"/>
    <w:autoRedefine/>
    <w:qFormat/>
    <w:uiPriority w:val="0"/>
    <w:pPr>
      <w:spacing w:line="360" w:lineRule="auto"/>
      <w:ind w:firstLine="420" w:firstLineChars="200"/>
    </w:pPr>
    <w:rPr>
      <w:rFonts w:ascii="宋体" w:hAnsi="宋体"/>
    </w:rPr>
  </w:style>
  <w:style w:type="paragraph" w:customStyle="1" w:styleId="63">
    <w:name w:val="_Style 3"/>
    <w:basedOn w:val="1"/>
    <w:autoRedefine/>
    <w:qFormat/>
    <w:uiPriority w:val="0"/>
    <w:pPr>
      <w:ind w:firstLine="420" w:firstLineChars="200"/>
    </w:pPr>
    <w:rPr>
      <w:rFonts w:ascii="Calibri" w:hAnsi="Calibri"/>
      <w:szCs w:val="22"/>
    </w:rPr>
  </w:style>
  <w:style w:type="paragraph" w:customStyle="1" w:styleId="64">
    <w:name w:val="彩色列表 - 强调文字颜色 11"/>
    <w:autoRedefine/>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1234</Words>
  <Characters>1277</Characters>
  <Lines>66</Lines>
  <Paragraphs>18</Paragraphs>
  <TotalTime>8</TotalTime>
  <ScaleCrop>false</ScaleCrop>
  <LinksUpToDate>false</LinksUpToDate>
  <CharactersWithSpaces>1295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高作青</cp:lastModifiedBy>
  <cp:lastPrinted>2025-08-13T07:00:40Z</cp:lastPrinted>
  <dcterms:modified xsi:type="dcterms:W3CDTF">2025-08-13T07:10:54Z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1039F07BCA1F4329BB0CBA52DE1CF33B_13</vt:lpwstr>
  </property>
</Properties>
</file>