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r>
        <w:rPr>
          <w:rFonts w:hint="eastAsia" w:ascii="宋体" w:hAnsi="宋体" w:cs="宋体"/>
          <w:b/>
          <w:sz w:val="40"/>
          <w:szCs w:val="40"/>
          <w:lang w:eastAsia="zh-CN"/>
        </w:rPr>
        <w:t>二氧化碳培养箱</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6"/>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090</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9</w:t>
      </w:r>
      <w:r>
        <w:rPr>
          <w:rFonts w:hint="eastAsia" w:ascii="宋体" w:hAnsi="宋体" w:cs="宋体"/>
          <w:b/>
          <w:sz w:val="30"/>
          <w:szCs w:val="30"/>
          <w:highlight w:val="cyan"/>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二氧化碳培养箱</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6373FEB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786057B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河南省胸科医院二氧化碳培养箱采购项目</w:t>
      </w:r>
      <w:r>
        <w:rPr>
          <w:rFonts w:hint="default" w:asciiTheme="minorEastAsia" w:hAnsiTheme="minorEastAsia" w:eastAsiaTheme="minorEastAsia" w:cstheme="minorEastAsia"/>
          <w:color w:val="333333"/>
          <w:sz w:val="24"/>
          <w:szCs w:val="24"/>
        </w:rPr>
        <w:t>。</w:t>
      </w:r>
    </w:p>
    <w:p w14:paraId="79738AD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B1683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二氧化碳培养箱</w:t>
      </w: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台。</w:t>
      </w:r>
    </w:p>
    <w:p w14:paraId="0F8D993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4A418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rPr>
        <w:t>万元。</w:t>
      </w:r>
    </w:p>
    <w:p w14:paraId="6C16699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21236AF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A5133C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4DE0433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0ABA17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2776F0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A20224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32A24DF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75CE5F8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0DEBFD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346DFF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612B543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15ADCAB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190FF78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4126662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69DAFB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9</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28</w:t>
      </w:r>
      <w:r>
        <w:rPr>
          <w:rFonts w:hint="default" w:asciiTheme="minorEastAsia" w:hAnsiTheme="minorEastAsia" w:eastAsiaTheme="minorEastAsia" w:cstheme="minorEastAsia"/>
          <w:color w:val="333333"/>
          <w:sz w:val="24"/>
          <w:szCs w:val="24"/>
          <w:highlight w:val="green"/>
        </w:rPr>
        <w:t>日至</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9</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30</w:t>
      </w:r>
      <w:r>
        <w:rPr>
          <w:rFonts w:hint="default" w:asciiTheme="minorEastAsia" w:hAnsiTheme="minorEastAsia" w:eastAsiaTheme="minorEastAsia" w:cstheme="minorEastAsia"/>
          <w:color w:val="333333"/>
          <w:sz w:val="24"/>
          <w:szCs w:val="24"/>
          <w:highlight w:val="green"/>
        </w:rPr>
        <w:t>日</w:t>
      </w:r>
      <w:r>
        <w:rPr>
          <w:rFonts w:hint="default" w:asciiTheme="minorEastAsia" w:hAnsiTheme="minorEastAsia" w:eastAsiaTheme="minorEastAsia" w:cstheme="minorEastAsia"/>
          <w:color w:val="333333"/>
          <w:sz w:val="24"/>
          <w:szCs w:val="24"/>
          <w:highlight w:val="none"/>
        </w:rPr>
        <w:t>，</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68CB24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1A13D00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5D30043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1F42329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2DCBC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58B3677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2A2EA06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819AD0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EDD462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3E7E4F9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0DDAB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13FE35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049603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3F1B251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7872BEC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1507FB5">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25EB9CDE">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781CEFAA">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数量：2台。</w:t>
      </w:r>
    </w:p>
    <w:p w14:paraId="76925716">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2.二氧化碳控制范围:0%-20%。</w:t>
      </w:r>
    </w:p>
    <w:p w14:paraId="7EC2049E">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.二氧化碳控制精准度</w:t>
      </w:r>
      <w:r>
        <w:rPr>
          <w:rFonts w:hint="eastAsia" w:ascii="宋体" w:hAnsi="宋体" w:eastAsia="宋体" w:cs="宋体"/>
          <w:sz w:val="24"/>
          <w:szCs w:val="24"/>
          <w:highlight w:val="none"/>
          <w:lang w:val="en-US" w:eastAsia="zh-CN"/>
        </w:rPr>
        <w:t>±</w:t>
      </w:r>
      <w:r>
        <w:rPr>
          <w:rFonts w:hint="eastAsia" w:ascii="宋体" w:hAnsi="宋体" w:eastAsia="宋体" w:cs="宋体"/>
          <w:b w:val="0"/>
          <w:bCs w:val="0"/>
          <w:sz w:val="24"/>
          <w:szCs w:val="24"/>
          <w:lang w:val="en-US" w:eastAsia="zh-CN"/>
        </w:rPr>
        <w:t>0.1。</w:t>
      </w:r>
    </w:p>
    <w:p w14:paraId="4791240F">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.相对湿度: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90%。</w:t>
      </w:r>
    </w:p>
    <w:p w14:paraId="566598C9">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.容量:</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150 升</w:t>
      </w:r>
      <w:r>
        <w:rPr>
          <w:rFonts w:hint="eastAsia" w:ascii="宋体" w:hAnsi="宋体" w:cs="宋体"/>
          <w:b w:val="0"/>
          <w:bCs w:val="0"/>
          <w:sz w:val="24"/>
          <w:szCs w:val="24"/>
          <w:lang w:val="en-US" w:eastAsia="zh-CN"/>
        </w:rPr>
        <w:t>。</w:t>
      </w:r>
    </w:p>
    <w:p w14:paraId="650979A2">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.温度范围:5-55℃。</w:t>
      </w:r>
    </w:p>
    <w:p w14:paraId="0FAB8BF6">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 xml:space="preserve">.温度精准度 </w:t>
      </w:r>
      <w:r>
        <w:rPr>
          <w:rFonts w:hint="eastAsia" w:ascii="宋体" w:hAnsi="宋体" w:eastAsia="宋体" w:cs="宋体"/>
          <w:sz w:val="24"/>
          <w:szCs w:val="24"/>
          <w:highlight w:val="none"/>
          <w:lang w:val="en-US" w:eastAsia="zh-CN"/>
        </w:rPr>
        <w:t>±</w:t>
      </w:r>
      <w:r>
        <w:rPr>
          <w:rFonts w:hint="eastAsia" w:ascii="宋体" w:hAnsi="宋体" w:eastAsia="宋体" w:cs="宋体"/>
          <w:b w:val="0"/>
          <w:bCs w:val="0"/>
          <w:sz w:val="24"/>
          <w:szCs w:val="24"/>
          <w:lang w:val="en-US" w:eastAsia="zh-CN"/>
        </w:rPr>
        <w:t>0.2℃。</w:t>
      </w:r>
    </w:p>
    <w:p w14:paraId="09760AFD">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.可消毒、配置载物托架。</w:t>
      </w:r>
    </w:p>
    <w:p w14:paraId="236B48E5">
      <w:pPr>
        <w:spacing w:line="360" w:lineRule="auto"/>
        <w:rPr>
          <w:rFonts w:ascii="宋体" w:hAnsi="宋体"/>
          <w:b/>
          <w:bCs/>
          <w:sz w:val="24"/>
        </w:rPr>
      </w:pPr>
      <w:r>
        <w:rPr>
          <w:rFonts w:hint="eastAsia" w:ascii="宋体" w:hAnsi="宋体"/>
          <w:b/>
          <w:bCs/>
          <w:sz w:val="24"/>
        </w:rPr>
        <w:t>二、商务要求</w:t>
      </w:r>
    </w:p>
    <w:p w14:paraId="7E8D26D7">
      <w:pPr>
        <w:spacing w:line="360" w:lineRule="auto"/>
        <w:rPr>
          <w:rFonts w:ascii="宋体" w:hAnsi="宋体" w:cs="宋体"/>
          <w:sz w:val="24"/>
        </w:rPr>
      </w:pPr>
      <w:r>
        <w:rPr>
          <w:rFonts w:hint="eastAsia" w:ascii="宋体" w:hAnsi="宋体" w:cs="宋体"/>
          <w:sz w:val="24"/>
        </w:rPr>
        <w:t>1.特定资格</w:t>
      </w:r>
    </w:p>
    <w:p w14:paraId="7AC86F23">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F83722E">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5D78E0E1">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7585F2E8">
      <w:pPr>
        <w:spacing w:line="360" w:lineRule="auto"/>
        <w:rPr>
          <w:rFonts w:hint="eastAsia" w:ascii="宋体" w:hAnsi="宋体" w:cs="宋体"/>
          <w:b/>
          <w:bCs/>
          <w:color w:val="FF0000"/>
          <w:sz w:val="24"/>
          <w:lang w:val="en-US" w:eastAsia="zh-CN"/>
        </w:rPr>
      </w:pPr>
      <w:r>
        <w:rPr>
          <w:rFonts w:hint="eastAsia" w:ascii="宋体" w:hAnsi="宋体" w:cs="宋体"/>
          <w:sz w:val="24"/>
        </w:rPr>
        <w:t>3.是否接受进口产品：</w:t>
      </w:r>
      <w:r>
        <w:rPr>
          <w:rFonts w:hint="eastAsia" w:ascii="宋体" w:hAnsi="宋体" w:cs="宋体"/>
          <w:b/>
          <w:bCs/>
          <w:color w:val="FF0000"/>
          <w:sz w:val="24"/>
          <w:lang w:val="en-US" w:eastAsia="zh-CN"/>
        </w:rPr>
        <w:t>是</w:t>
      </w:r>
    </w:p>
    <w:p w14:paraId="2BC0A716">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37FEEAB1">
      <w:pPr>
        <w:spacing w:line="360" w:lineRule="auto"/>
        <w:rPr>
          <w:rFonts w:ascii="宋体" w:hAnsi="宋体" w:cs="宋体"/>
          <w:sz w:val="24"/>
        </w:rPr>
      </w:pPr>
      <w:r>
        <w:rPr>
          <w:rFonts w:hint="eastAsia" w:ascii="宋体" w:hAnsi="宋体" w:cs="宋体"/>
          <w:sz w:val="24"/>
        </w:rPr>
        <w:t>5.履约保证金：无</w:t>
      </w:r>
    </w:p>
    <w:p w14:paraId="39D57DB8">
      <w:pPr>
        <w:spacing w:line="360" w:lineRule="auto"/>
        <w:rPr>
          <w:rFonts w:ascii="宋体" w:hAnsi="宋体" w:cs="宋体"/>
          <w:sz w:val="24"/>
        </w:rPr>
      </w:pPr>
      <w:r>
        <w:rPr>
          <w:rFonts w:hint="eastAsia" w:ascii="宋体" w:hAnsi="宋体" w:cs="宋体"/>
          <w:sz w:val="24"/>
        </w:rPr>
        <w:t>6.付款方式：</w:t>
      </w:r>
    </w:p>
    <w:p w14:paraId="04F85B6A">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3636C3E4">
      <w:pPr>
        <w:spacing w:line="360" w:lineRule="auto"/>
        <w:ind w:firstLine="240" w:firstLineChars="100"/>
        <w:rPr>
          <w:rFonts w:asciiTheme="minorEastAsia" w:hAnsiTheme="minorEastAsia" w:eastAsiaTheme="minorEastAsia" w:cstheme="minorEastAsia"/>
          <w:sz w:val="24"/>
        </w:rPr>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2165AEBE">
      <w:pPr>
        <w:spacing w:line="360" w:lineRule="auto"/>
        <w:ind w:firstLine="240" w:firstLineChars="100"/>
        <w:rPr>
          <w:rFonts w:hint="eastAsia" w:ascii="宋体" w:hAnsi="宋体" w:eastAsia="宋体"/>
          <w:b w:val="0"/>
          <w:bCs w:val="0"/>
          <w:sz w:val="24"/>
          <w:szCs w:val="24"/>
          <w:lang w:val="en-US" w:eastAsia="zh-CN"/>
        </w:rPr>
      </w:pPr>
      <w:bookmarkStart w:id="67" w:name="_GoBack"/>
      <w:bookmarkEnd w:id="67"/>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26111"/>
      <w:bookmarkStart w:id="13" w:name="_Toc4559"/>
      <w:bookmarkStart w:id="14" w:name="_Toc11890"/>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r>
        <w:rPr>
          <w:rFonts w:hint="eastAsia" w:ascii="微软雅黑" w:hAnsi="微软雅黑" w:eastAsia="微软雅黑" w:cs="微软雅黑"/>
          <w:color w:val="333333"/>
          <w:kern w:val="0"/>
          <w:sz w:val="24"/>
          <w:szCs w:val="24"/>
          <w:lang w:val="en-US" w:eastAsia="zh-CN" w:bidi="ar-SA"/>
        </w:rPr>
        <w:t>或基本开户银行出具的有效资信证明。</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24403"/>
      <w:bookmarkStart w:id="16" w:name="_Toc569"/>
      <w:bookmarkStart w:id="17" w:name="_Toc1931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1728"/>
      <w:bookmarkStart w:id="22" w:name="_Toc3266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475887"/>
      <w:bookmarkStart w:id="38" w:name="_Toc304219290"/>
      <w:bookmarkStart w:id="39" w:name="_Toc320878673"/>
      <w:bookmarkStart w:id="40" w:name="_Toc349642274"/>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DC5BBBC">
      <w:pPr>
        <w:pStyle w:val="2"/>
        <w:rPr>
          <w:rFonts w:hint="eastAsia"/>
        </w:rPr>
      </w:pPr>
    </w:p>
    <w:p w14:paraId="788816D9">
      <w:pPr>
        <w:rPr>
          <w:rFonts w:hint="eastAsia"/>
        </w:rPr>
      </w:pPr>
    </w:p>
    <w:p w14:paraId="1A34F106">
      <w:pPr>
        <w:pStyle w:val="2"/>
        <w:rPr>
          <w:rFonts w:hint="eastAsia"/>
        </w:rPr>
      </w:pPr>
    </w:p>
    <w:p w14:paraId="5B49F3B6">
      <w:pPr>
        <w:rPr>
          <w:rFonts w:hint="eastAsia"/>
        </w:rPr>
      </w:pPr>
    </w:p>
    <w:p w14:paraId="0F2AB2FF">
      <w:pPr>
        <w:pStyle w:val="2"/>
        <w:rPr>
          <w:rFonts w:hint="eastAsia"/>
        </w:rPr>
      </w:pPr>
    </w:p>
    <w:p w14:paraId="767567B7">
      <w:pPr>
        <w:rPr>
          <w:rFonts w:hint="eastAsia"/>
        </w:rPr>
      </w:pPr>
    </w:p>
    <w:p w14:paraId="74143957">
      <w:pPr>
        <w:pStyle w:val="2"/>
        <w:rPr>
          <w:rFonts w:hint="eastAsia"/>
        </w:rPr>
      </w:pPr>
    </w:p>
    <w:p w14:paraId="2E0A37CA">
      <w:pPr>
        <w:rPr>
          <w:rFonts w:hint="eastAsia"/>
        </w:rPr>
      </w:pPr>
    </w:p>
    <w:p w14:paraId="3B56C474">
      <w:pPr>
        <w:pStyle w:val="2"/>
        <w:rPr>
          <w:rFonts w:hint="eastAsia"/>
        </w:rPr>
      </w:pPr>
    </w:p>
    <w:p w14:paraId="2A2919DC">
      <w:pPr>
        <w:rPr>
          <w:rFonts w:hint="eastAsia"/>
        </w:rPr>
      </w:pPr>
    </w:p>
    <w:p w14:paraId="54FE03E0">
      <w:pPr>
        <w:pStyle w:val="2"/>
        <w:rPr>
          <w:rFonts w:hint="eastAsia"/>
        </w:rPr>
      </w:pPr>
    </w:p>
    <w:p w14:paraId="06AE7BEF">
      <w:pPr>
        <w:rPr>
          <w:rFonts w:hint="eastAsia"/>
        </w:rPr>
      </w:pPr>
    </w:p>
    <w:p w14:paraId="4EAEE74E">
      <w:pPr>
        <w:pStyle w:val="2"/>
        <w:rPr>
          <w:rFonts w:hint="eastAsia"/>
        </w:rPr>
      </w:pPr>
    </w:p>
    <w:p w14:paraId="5C3CFDF2">
      <w:pPr>
        <w:rPr>
          <w:rFonts w:hint="eastAsia"/>
        </w:rPr>
      </w:pPr>
    </w:p>
    <w:p w14:paraId="77D1CB3A">
      <w:pPr>
        <w:pStyle w:val="2"/>
        <w:rPr>
          <w:rFonts w:hint="eastAsia"/>
        </w:rPr>
      </w:pPr>
    </w:p>
    <w:p w14:paraId="3A56DFF0">
      <w:pPr>
        <w:rPr>
          <w:rFonts w:hint="eastAsia"/>
        </w:rPr>
      </w:pPr>
    </w:p>
    <w:p w14:paraId="6C646BD8">
      <w:pPr>
        <w:pStyle w:val="2"/>
        <w:rPr>
          <w:rFonts w:hint="eastAsia"/>
        </w:rPr>
      </w:pPr>
    </w:p>
    <w:p w14:paraId="5F558C04">
      <w:pPr>
        <w:rPr>
          <w:rFonts w:hint="eastAsia"/>
        </w:rPr>
      </w:pPr>
    </w:p>
    <w:p w14:paraId="2915304E">
      <w:pPr>
        <w:pStyle w:val="2"/>
        <w:rPr>
          <w:rFonts w:hint="eastAsia"/>
        </w:rPr>
      </w:pPr>
    </w:p>
    <w:p w14:paraId="61971C5F">
      <w:pPr>
        <w:rPr>
          <w:rFonts w:hint="eastAsia"/>
        </w:rPr>
      </w:pPr>
    </w:p>
    <w:p w14:paraId="3BE23111">
      <w:pPr>
        <w:pStyle w:val="2"/>
        <w:rPr>
          <w:rFonts w:hint="eastAsia"/>
        </w:rPr>
      </w:pPr>
    </w:p>
    <w:p w14:paraId="7C75A853">
      <w:pPr>
        <w:rPr>
          <w:rFonts w:hint="eastAsia"/>
        </w:rPr>
      </w:pPr>
    </w:p>
    <w:p w14:paraId="387CE8AC">
      <w:pPr>
        <w:pStyle w:val="2"/>
        <w:rPr>
          <w:rFonts w:hint="eastAsia"/>
        </w:rPr>
      </w:pPr>
    </w:p>
    <w:p w14:paraId="6B872ED7">
      <w:pPr>
        <w:rPr>
          <w:rFonts w:hint="eastAsia"/>
        </w:rPr>
      </w:pPr>
    </w:p>
    <w:p w14:paraId="16E19B26">
      <w:pPr>
        <w:pStyle w:val="2"/>
        <w:rPr>
          <w:rFonts w:hint="eastAsia"/>
        </w:rPr>
      </w:pPr>
    </w:p>
    <w:p w14:paraId="6AA0398E">
      <w:pPr>
        <w:rPr>
          <w:rFonts w:hint="eastAsia"/>
        </w:rPr>
      </w:pPr>
    </w:p>
    <w:p w14:paraId="7BFA5299">
      <w:pPr>
        <w:pStyle w:val="2"/>
        <w:rPr>
          <w:rFonts w:hint="eastAsia"/>
        </w:rPr>
      </w:pPr>
    </w:p>
    <w:p w14:paraId="1AB14EF5">
      <w:pPr>
        <w:rPr>
          <w:rFonts w:hint="eastAsia"/>
        </w:rPr>
      </w:pPr>
    </w:p>
    <w:p w14:paraId="5009ACF6">
      <w:pPr>
        <w:pStyle w:val="2"/>
        <w:rPr>
          <w:rFonts w:hint="eastAsia"/>
        </w:rPr>
      </w:pPr>
    </w:p>
    <w:p w14:paraId="5D7FF4CA">
      <w:pPr>
        <w:rPr>
          <w:rFonts w:hint="eastAsia"/>
        </w:rPr>
      </w:pPr>
    </w:p>
    <w:p w14:paraId="31D8C8B3">
      <w:pPr>
        <w:pStyle w:val="2"/>
        <w:rPr>
          <w:rFonts w:hint="eastAsia"/>
        </w:rPr>
      </w:pPr>
    </w:p>
    <w:p w14:paraId="28E13829">
      <w:pPr>
        <w:rPr>
          <w:rFonts w:hint="eastAsia"/>
        </w:rPr>
      </w:pPr>
    </w:p>
    <w:p w14:paraId="4ADF7C65">
      <w:pPr>
        <w:pStyle w:val="2"/>
        <w:rPr>
          <w:rFonts w:hint="eastAsia"/>
        </w:rPr>
      </w:pPr>
    </w:p>
    <w:p w14:paraId="7CF9FA9C">
      <w:pPr>
        <w:rPr>
          <w:rFonts w:hint="eastAsia"/>
        </w:rPr>
      </w:pPr>
    </w:p>
    <w:p w14:paraId="58DF44A7">
      <w:pPr>
        <w:pStyle w:val="2"/>
        <w:rPr>
          <w:rFonts w:hint="eastAsia"/>
        </w:rPr>
      </w:pPr>
    </w:p>
    <w:p w14:paraId="4C26B79B">
      <w:pPr>
        <w:rPr>
          <w:rFonts w:hint="eastAsia"/>
        </w:rPr>
      </w:pPr>
    </w:p>
    <w:p w14:paraId="78D5114F">
      <w:pPr>
        <w:pStyle w:val="2"/>
        <w:rPr>
          <w:rFonts w:hint="eastAsia"/>
        </w:rPr>
      </w:pP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15867"/>
      <w:bookmarkStart w:id="52" w:name="_Toc29526"/>
      <w:bookmarkStart w:id="53" w:name="_Toc4599"/>
      <w:bookmarkStart w:id="54" w:name="_Toc10750"/>
      <w:bookmarkStart w:id="55" w:name="_Toc320878714"/>
      <w:bookmarkStart w:id="56" w:name="_Toc304219331"/>
      <w:bookmarkStart w:id="57" w:name="_Toc28583"/>
      <w:bookmarkStart w:id="58" w:name="_Toc12801"/>
      <w:bookmarkStart w:id="59" w:name="_Toc337554798"/>
      <w:bookmarkStart w:id="60" w:name="_Toc30765"/>
      <w:bookmarkStart w:id="61" w:name="_Toc349642319"/>
      <w:bookmarkStart w:id="62" w:name="_Toc337475928"/>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68E"/>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2715CB"/>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5C6C40"/>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447220"/>
    <w:rsid w:val="237F2B13"/>
    <w:rsid w:val="23D379C3"/>
    <w:rsid w:val="24426B0A"/>
    <w:rsid w:val="245A486E"/>
    <w:rsid w:val="24F85AD9"/>
    <w:rsid w:val="25175F4B"/>
    <w:rsid w:val="251903EC"/>
    <w:rsid w:val="25322951"/>
    <w:rsid w:val="254E2C98"/>
    <w:rsid w:val="260C61C8"/>
    <w:rsid w:val="264B7BA3"/>
    <w:rsid w:val="26AE1F76"/>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391D02"/>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9C09DF"/>
    <w:rsid w:val="42AD1004"/>
    <w:rsid w:val="43B32016"/>
    <w:rsid w:val="43F34346"/>
    <w:rsid w:val="4413506B"/>
    <w:rsid w:val="44990651"/>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AE3B00"/>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63713A"/>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9C45873"/>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A61D92"/>
    <w:rsid w:val="70F04FAA"/>
    <w:rsid w:val="71220F0F"/>
    <w:rsid w:val="716A72EA"/>
    <w:rsid w:val="718D686E"/>
    <w:rsid w:val="71A60213"/>
    <w:rsid w:val="72852AC3"/>
    <w:rsid w:val="72A34ABD"/>
    <w:rsid w:val="72B365B1"/>
    <w:rsid w:val="733D0C1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 w:type="paragraph" w:customStyle="1" w:styleId="15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4998</Words>
  <Characters>5172</Characters>
  <Lines>315</Lines>
  <Paragraphs>88</Paragraphs>
  <TotalTime>0</TotalTime>
  <ScaleCrop>false</ScaleCrop>
  <LinksUpToDate>false</LinksUpToDate>
  <CharactersWithSpaces>6021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吕芳</cp:lastModifiedBy>
  <cp:lastPrinted>2022-03-04T01:40:00Z</cp:lastPrinted>
  <dcterms:modified xsi:type="dcterms:W3CDTF">2025-09-27T02:08:26Z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0C1671EF75B04043904A8BD7B57E1AF6_13</vt:lpwstr>
  </property>
  <property fmtid="{D5CDD505-2E9C-101B-9397-08002B2CF9AE}" pid="4" name="KSOTemplateDocerSaveRecord">
    <vt:lpwstr>eyJoZGlkIjoiNDdiYzIwYzJkY2VlZTA0OGY0ZGI2YmQyZmFjZDk5NjQiLCJ1c2VySWQiOiIxNzM5Mjk3MTU3In0=</vt:lpwstr>
  </property>
</Properties>
</file>