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20151F4E">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eastAsia="zh-CN"/>
        </w:rPr>
        <w:t>干扰电治疗仪</w:t>
      </w:r>
    </w:p>
    <w:p w14:paraId="75E3E65C">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7"/>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9"/>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rPr>
      </w:pPr>
    </w:p>
    <w:p w14:paraId="63BADE2E">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2025</w:t>
      </w:r>
      <w:r>
        <w:rPr>
          <w:rFonts w:hint="eastAsia" w:ascii="宋体" w:hAnsi="宋体" w:cs="宋体"/>
          <w:b/>
          <w:sz w:val="32"/>
        </w:rPr>
        <w:t>-</w:t>
      </w:r>
      <w:r>
        <w:rPr>
          <w:rFonts w:hint="eastAsia" w:ascii="宋体" w:hAnsi="宋体" w:cs="宋体"/>
          <w:b/>
          <w:sz w:val="32"/>
          <w:highlight w:val="cyan"/>
          <w:lang w:val="en-US" w:eastAsia="zh-CN"/>
        </w:rPr>
        <w:t>093</w:t>
      </w:r>
    </w:p>
    <w:p w14:paraId="214E5E61">
      <w:pPr>
        <w:widowControl/>
        <w:spacing w:line="360" w:lineRule="auto"/>
        <w:outlineLvl w:val="0"/>
        <w:rPr>
          <w:b/>
          <w:sz w:val="52"/>
          <w:szCs w:val="52"/>
        </w:rPr>
      </w:pPr>
    </w:p>
    <w:p w14:paraId="2F447C0C">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E1B6CCA">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9</w:t>
      </w:r>
      <w:r>
        <w:rPr>
          <w:rFonts w:hint="eastAsia" w:ascii="宋体" w:hAnsi="宋体" w:cs="宋体"/>
          <w:b/>
          <w:sz w:val="30"/>
          <w:szCs w:val="30"/>
          <w:highlight w:val="cyan"/>
        </w:rPr>
        <w:t>月</w:t>
      </w:r>
    </w:p>
    <w:p w14:paraId="212A8CCF">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bookmarkStart w:id="67" w:name="_GoBack"/>
      <w:r>
        <w:rPr>
          <w:rFonts w:hint="eastAsia" w:ascii="宋体" w:hAnsi="宋体"/>
          <w:b/>
          <w:sz w:val="28"/>
          <w:szCs w:val="28"/>
          <w:highlight w:val="cyan"/>
          <w:lang w:eastAsia="zh-CN"/>
        </w:rPr>
        <w:t>干扰电治疗仪</w:t>
      </w:r>
      <w:bookmarkEnd w:id="67"/>
      <w:r>
        <w:rPr>
          <w:rFonts w:hint="eastAsia" w:ascii="宋体" w:hAnsi="宋体"/>
          <w:b/>
          <w:sz w:val="28"/>
          <w:szCs w:val="28"/>
          <w:highlight w:val="cyan"/>
        </w:rPr>
        <w:t>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河南省胸科医院干扰电治疗仪采购项目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干扰电治疗仪</w:t>
      </w:r>
      <w:r>
        <w:rPr>
          <w:rFonts w:hint="eastAsia" w:asciiTheme="minorEastAsia" w:hAnsiTheme="minorEastAsia" w:eastAsiaTheme="minorEastAsia" w:cstheme="minorEastAsia"/>
          <w:color w:val="333333"/>
          <w:sz w:val="24"/>
          <w:szCs w:val="24"/>
          <w:lang w:val="en-US" w:eastAsia="zh-CN"/>
        </w:rPr>
        <w:t>2</w:t>
      </w:r>
      <w:r>
        <w:rPr>
          <w:rFonts w:hint="default" w:asciiTheme="minorEastAsia" w:hAnsiTheme="minorEastAsia" w:eastAsiaTheme="minorEastAsia" w:cstheme="minorEastAsia"/>
          <w:color w:val="333333"/>
          <w:sz w:val="24"/>
          <w:szCs w:val="24"/>
        </w:rPr>
        <w:t>台。</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green"/>
          <w:lang w:eastAsia="zh-CN"/>
        </w:rPr>
        <w:t>202</w:t>
      </w:r>
      <w:r>
        <w:rPr>
          <w:rFonts w:hint="eastAsia" w:asciiTheme="minorEastAsia" w:hAnsiTheme="minorEastAsia" w:eastAsiaTheme="minorEastAsia" w:cstheme="minorEastAsia"/>
          <w:color w:val="333333"/>
          <w:sz w:val="24"/>
          <w:szCs w:val="24"/>
          <w:highlight w:val="green"/>
          <w:lang w:val="en-US" w:eastAsia="zh-CN"/>
        </w:rPr>
        <w:t>5</w:t>
      </w:r>
      <w:r>
        <w:rPr>
          <w:rFonts w:hint="default" w:asciiTheme="minorEastAsia" w:hAnsiTheme="minorEastAsia" w:eastAsiaTheme="minorEastAsia" w:cstheme="minorEastAsia"/>
          <w:color w:val="333333"/>
          <w:sz w:val="24"/>
          <w:szCs w:val="24"/>
          <w:highlight w:val="green"/>
        </w:rPr>
        <w:t>年</w:t>
      </w:r>
      <w:r>
        <w:rPr>
          <w:rFonts w:hint="eastAsia" w:asciiTheme="minorEastAsia" w:hAnsiTheme="minorEastAsia" w:eastAsiaTheme="minorEastAsia" w:cstheme="minorEastAsia"/>
          <w:color w:val="333333"/>
          <w:sz w:val="24"/>
          <w:szCs w:val="24"/>
          <w:highlight w:val="green"/>
          <w:lang w:val="en-US" w:eastAsia="zh-CN"/>
        </w:rPr>
        <w:t>9</w:t>
      </w:r>
      <w:r>
        <w:rPr>
          <w:rFonts w:hint="default" w:asciiTheme="minorEastAsia" w:hAnsiTheme="minorEastAsia" w:eastAsiaTheme="minorEastAsia" w:cstheme="minorEastAsia"/>
          <w:color w:val="333333"/>
          <w:sz w:val="24"/>
          <w:szCs w:val="24"/>
          <w:highlight w:val="green"/>
        </w:rPr>
        <w:t>月</w:t>
      </w:r>
      <w:r>
        <w:rPr>
          <w:rFonts w:hint="eastAsia" w:asciiTheme="minorEastAsia" w:hAnsiTheme="minorEastAsia" w:eastAsiaTheme="minorEastAsia" w:cstheme="minorEastAsia"/>
          <w:color w:val="333333"/>
          <w:sz w:val="24"/>
          <w:szCs w:val="24"/>
          <w:highlight w:val="green"/>
          <w:lang w:val="en-US" w:eastAsia="zh-CN"/>
        </w:rPr>
        <w:t>30</w:t>
      </w:r>
      <w:r>
        <w:rPr>
          <w:rFonts w:hint="default" w:asciiTheme="minorEastAsia" w:hAnsiTheme="minorEastAsia" w:eastAsiaTheme="minorEastAsia" w:cstheme="minorEastAsia"/>
          <w:color w:val="333333"/>
          <w:sz w:val="24"/>
          <w:szCs w:val="24"/>
          <w:highlight w:val="green"/>
        </w:rPr>
        <w:t>日至</w:t>
      </w:r>
      <w:r>
        <w:rPr>
          <w:rFonts w:hint="eastAsia" w:asciiTheme="minorEastAsia" w:hAnsiTheme="minorEastAsia" w:eastAsiaTheme="minorEastAsia" w:cstheme="minorEastAsia"/>
          <w:color w:val="333333"/>
          <w:sz w:val="24"/>
          <w:szCs w:val="24"/>
          <w:highlight w:val="green"/>
          <w:lang w:eastAsia="zh-CN"/>
        </w:rPr>
        <w:t>202</w:t>
      </w:r>
      <w:r>
        <w:rPr>
          <w:rFonts w:hint="eastAsia" w:asciiTheme="minorEastAsia" w:hAnsiTheme="minorEastAsia" w:eastAsiaTheme="minorEastAsia" w:cstheme="minorEastAsia"/>
          <w:color w:val="333333"/>
          <w:sz w:val="24"/>
          <w:szCs w:val="24"/>
          <w:highlight w:val="green"/>
          <w:lang w:val="en-US" w:eastAsia="zh-CN"/>
        </w:rPr>
        <w:t>5</w:t>
      </w:r>
      <w:r>
        <w:rPr>
          <w:rFonts w:hint="default" w:asciiTheme="minorEastAsia" w:hAnsiTheme="minorEastAsia" w:eastAsiaTheme="minorEastAsia" w:cstheme="minorEastAsia"/>
          <w:color w:val="333333"/>
          <w:sz w:val="24"/>
          <w:szCs w:val="24"/>
          <w:highlight w:val="green"/>
        </w:rPr>
        <w:t>年</w:t>
      </w:r>
      <w:r>
        <w:rPr>
          <w:rFonts w:hint="eastAsia" w:asciiTheme="minorEastAsia" w:hAnsiTheme="minorEastAsia" w:eastAsiaTheme="minorEastAsia" w:cstheme="minorEastAsia"/>
          <w:color w:val="333333"/>
          <w:sz w:val="24"/>
          <w:szCs w:val="24"/>
          <w:highlight w:val="green"/>
          <w:lang w:val="en-US" w:eastAsia="zh-CN"/>
        </w:rPr>
        <w:t>10</w:t>
      </w:r>
      <w:r>
        <w:rPr>
          <w:rFonts w:hint="default" w:asciiTheme="minorEastAsia" w:hAnsiTheme="minorEastAsia" w:eastAsiaTheme="minorEastAsia" w:cstheme="minorEastAsia"/>
          <w:color w:val="333333"/>
          <w:sz w:val="24"/>
          <w:szCs w:val="24"/>
          <w:highlight w:val="green"/>
        </w:rPr>
        <w:t>月1</w:t>
      </w:r>
      <w:r>
        <w:rPr>
          <w:rFonts w:hint="eastAsia" w:asciiTheme="minorEastAsia" w:hAnsiTheme="minorEastAsia" w:eastAsiaTheme="minorEastAsia" w:cstheme="minorEastAsia"/>
          <w:color w:val="333333"/>
          <w:sz w:val="24"/>
          <w:szCs w:val="24"/>
          <w:highlight w:val="green"/>
          <w:lang w:val="en-US" w:eastAsia="zh-CN"/>
        </w:rPr>
        <w:t>0</w:t>
      </w:r>
      <w:r>
        <w:rPr>
          <w:rFonts w:hint="default" w:asciiTheme="minorEastAsia" w:hAnsiTheme="minorEastAsia" w:eastAsiaTheme="minorEastAsia" w:cstheme="minorEastAsia"/>
          <w:color w:val="333333"/>
          <w:sz w:val="24"/>
          <w:szCs w:val="24"/>
          <w:highlight w:val="green"/>
        </w:rPr>
        <w:t>日</w:t>
      </w:r>
      <w:r>
        <w:rPr>
          <w:rFonts w:hint="default" w:asciiTheme="minorEastAsia" w:hAnsiTheme="minorEastAsia" w:eastAsiaTheme="minorEastAsia" w:cstheme="minorEastAsia"/>
          <w:color w:val="333333"/>
          <w:sz w:val="24"/>
          <w:szCs w:val="24"/>
          <w:highlight w:val="none"/>
        </w:rPr>
        <w:t>，</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D718FE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3DE6C3B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ECF4A34"/>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16A0636C">
      <w:pPr>
        <w:spacing w:line="360" w:lineRule="auto"/>
        <w:jc w:val="center"/>
        <w:rPr>
          <w:rFonts w:cs="宋体" w:asciiTheme="minorEastAsia" w:hAnsiTheme="minorEastAsia"/>
          <w:b/>
          <w:sz w:val="30"/>
          <w:szCs w:val="30"/>
          <w:lang w:bidi="ar"/>
        </w:rPr>
      </w:pPr>
    </w:p>
    <w:p w14:paraId="24F87111">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5E690F93">
      <w:pPr>
        <w:spacing w:line="360" w:lineRule="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rPr>
        <w:t>1、</w:t>
      </w:r>
      <w:r>
        <w:rPr>
          <w:rFonts w:hint="eastAsia" w:asciiTheme="minorEastAsia" w:hAnsiTheme="minorEastAsia" w:eastAsiaTheme="minorEastAsia" w:cstheme="minorEastAsia"/>
          <w:b w:val="0"/>
          <w:bCs w:val="0"/>
          <w:color w:val="auto"/>
          <w:sz w:val="24"/>
          <w:szCs w:val="24"/>
          <w:lang w:val="en-US" w:eastAsia="zh-CN"/>
        </w:rPr>
        <w:t>数量：2台；</w:t>
      </w:r>
    </w:p>
    <w:p w14:paraId="28970BC8">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2、触摸式操作面板≥13.5寸；</w:t>
      </w:r>
    </w:p>
    <w:p w14:paraId="751AD856">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3、具有隐藏式伸缩输出线挂线支架；</w:t>
      </w:r>
    </w:p>
    <w:p w14:paraId="41697634">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4、具有一键触摸隐藏式自动温热功能，可对电极进行加热；</w:t>
      </w:r>
    </w:p>
    <w:p w14:paraId="408B316C">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5、≥2组独立控制六通道输出，可在单路、二维、三维输出相互转换，每个通道治疗模式、强度、负压开关可分别选择；</w:t>
      </w:r>
    </w:p>
    <w:p w14:paraId="549668E6">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6、调制波波形≥3种，调制频率范围：0Hz～150Hz；</w:t>
      </w:r>
    </w:p>
    <w:p w14:paraId="66D2791D">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7、输出载波频率范围：2000Hz～12000Hz。</w:t>
      </w:r>
    </w:p>
    <w:p w14:paraId="60176BDE">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8、调制幅度：≥3档可调。</w:t>
      </w:r>
    </w:p>
    <w:p w14:paraId="08EDDFC2">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9、差频频率范围：1～150Hz。</w:t>
      </w:r>
    </w:p>
    <w:p w14:paraId="766EB3C3">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10、差频变化周期≥2个；</w:t>
      </w:r>
    </w:p>
    <w:p w14:paraId="2F682122">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11、动态节律≥2个；</w:t>
      </w:r>
    </w:p>
    <w:p w14:paraId="2B82FFF4">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12、定时时间：1～60min可调；</w:t>
      </w:r>
    </w:p>
    <w:p w14:paraId="42852589">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13、具有电极加热保温和过热双重保护功能；</w:t>
      </w:r>
    </w:p>
    <w:p w14:paraId="1982525D">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14、治疗模式：多种治疗模式，内置多种处方；</w:t>
      </w:r>
    </w:p>
    <w:p w14:paraId="753896A0">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15、具有单通道吸附电极关闭功能；</w:t>
      </w:r>
    </w:p>
    <w:p w14:paraId="2FB110F1">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16、具备电极脱落自动报警功能；</w:t>
      </w:r>
    </w:p>
    <w:p w14:paraId="0ED940B3">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17、具有过流保护及提示，强度锁定及自动归零的功能；</w:t>
      </w:r>
    </w:p>
    <w:p w14:paraId="1B70F704">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18、具有按压式自锁回弹储水盒；</w:t>
      </w:r>
    </w:p>
    <w:p w14:paraId="67C7FD99">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19、具有独立的状态指示显示，可以提供不同的状态报警指示；</w:t>
      </w:r>
    </w:p>
    <w:p w14:paraId="5FDEE9B5">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20、对肩周炎、肱骨外上髁炎、颈椎病、腰椎间盘突出症、退行性骨性关节病、风湿性关节炎、类风湿关节炎、扭伤、挫伤、肌纤维织炎、肌肉劳损、狭窄性腱鞘炎、坐骨神经痛、周围神经伤病、关节挛缩等具有镇痛作用，改善局部血液循环，促进炎症消散作用；对肌炎、骨折延迟愈合、雷诺病等具有改善局部血液循环，促进炎症消散作用；对瘢痕、瘢痕挛缩、狭窄性腱鞘炎等具有软化瘢痕、松解粘连作用；对神经或肌肉伤病后肌肉功能障碍、废用性肌萎缩等具有兴奋神经肌肉作用； </w:t>
      </w:r>
    </w:p>
    <w:p w14:paraId="12B4A50E">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21、配置清单（每台）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3334"/>
        <w:gridCol w:w="1329"/>
      </w:tblGrid>
      <w:tr w14:paraId="3DF5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14:paraId="6D8677BF">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3334" w:type="dxa"/>
          </w:tcPr>
          <w:p w14:paraId="02E2D705">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名称</w:t>
            </w:r>
          </w:p>
        </w:tc>
        <w:tc>
          <w:tcPr>
            <w:tcW w:w="1329" w:type="dxa"/>
          </w:tcPr>
          <w:p w14:paraId="040D512E">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r>
      <w:tr w14:paraId="4357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14:paraId="1778F970">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3334" w:type="dxa"/>
          </w:tcPr>
          <w:p w14:paraId="5BBD66E0">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主机</w:t>
            </w:r>
          </w:p>
        </w:tc>
        <w:tc>
          <w:tcPr>
            <w:tcW w:w="1329" w:type="dxa"/>
          </w:tcPr>
          <w:p w14:paraId="18CA9F6D">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1台</w:t>
            </w:r>
          </w:p>
        </w:tc>
      </w:tr>
      <w:tr w14:paraId="04FD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14:paraId="6569F8D1">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3334" w:type="dxa"/>
          </w:tcPr>
          <w:p w14:paraId="03F9C236">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color w:val="auto"/>
                <w:sz w:val="24"/>
                <w:szCs w:val="24"/>
                <w:lang w:val="en-US" w:eastAsia="zh-CN"/>
              </w:rPr>
              <w:t>电极</w:t>
            </w:r>
          </w:p>
        </w:tc>
        <w:tc>
          <w:tcPr>
            <w:tcW w:w="1329" w:type="dxa"/>
          </w:tcPr>
          <w:p w14:paraId="77604801">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18对</w:t>
            </w:r>
          </w:p>
        </w:tc>
      </w:tr>
      <w:tr w14:paraId="54F0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14:paraId="3CC74C52">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3334" w:type="dxa"/>
          </w:tcPr>
          <w:p w14:paraId="7B473356">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电源线 </w:t>
            </w:r>
          </w:p>
        </w:tc>
        <w:tc>
          <w:tcPr>
            <w:tcW w:w="1329" w:type="dxa"/>
          </w:tcPr>
          <w:p w14:paraId="536F5451">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1条</w:t>
            </w:r>
          </w:p>
        </w:tc>
      </w:tr>
      <w:tr w14:paraId="6350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14:paraId="36A269B7">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3334" w:type="dxa"/>
          </w:tcPr>
          <w:p w14:paraId="47B46039">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输出线</w:t>
            </w:r>
          </w:p>
        </w:tc>
        <w:tc>
          <w:tcPr>
            <w:tcW w:w="1329" w:type="dxa"/>
          </w:tcPr>
          <w:p w14:paraId="111A9EDB">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6条</w:t>
            </w:r>
          </w:p>
        </w:tc>
      </w:tr>
      <w:tr w14:paraId="7BCA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4" w:type="dxa"/>
          </w:tcPr>
          <w:p w14:paraId="21F2CB91">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3334" w:type="dxa"/>
          </w:tcPr>
          <w:p w14:paraId="1E5F548B">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海绵</w:t>
            </w:r>
          </w:p>
        </w:tc>
        <w:tc>
          <w:tcPr>
            <w:tcW w:w="1329" w:type="dxa"/>
          </w:tcPr>
          <w:p w14:paraId="7F5E1F15">
            <w:p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72片</w:t>
            </w:r>
          </w:p>
        </w:tc>
      </w:tr>
    </w:tbl>
    <w:p w14:paraId="3C090C55">
      <w:pPr>
        <w:spacing w:line="360" w:lineRule="auto"/>
        <w:rPr>
          <w:rFonts w:hint="eastAsia" w:ascii="宋体" w:hAnsi="宋体" w:cs="宋体"/>
          <w:b w:val="0"/>
          <w:bCs w:val="0"/>
          <w:sz w:val="24"/>
          <w:szCs w:val="24"/>
          <w:lang w:val="en-US" w:eastAsia="zh-CN"/>
        </w:rPr>
      </w:pPr>
    </w:p>
    <w:p w14:paraId="6824DD55">
      <w:pPr>
        <w:spacing w:line="360" w:lineRule="auto"/>
        <w:rPr>
          <w:rFonts w:ascii="宋体" w:hAnsi="宋体"/>
          <w:b/>
          <w:bCs/>
          <w:sz w:val="24"/>
        </w:rPr>
      </w:pPr>
      <w:r>
        <w:rPr>
          <w:rFonts w:hint="eastAsia" w:ascii="宋体" w:hAnsi="宋体"/>
          <w:b/>
          <w:bCs/>
          <w:sz w:val="24"/>
        </w:rPr>
        <w:t>二、商务要求</w:t>
      </w:r>
    </w:p>
    <w:p w14:paraId="51D00101">
      <w:pPr>
        <w:spacing w:line="360" w:lineRule="auto"/>
        <w:rPr>
          <w:rFonts w:ascii="宋体" w:hAnsi="宋体" w:cs="宋体"/>
          <w:sz w:val="24"/>
        </w:rPr>
      </w:pPr>
      <w:r>
        <w:rPr>
          <w:rFonts w:hint="eastAsia" w:ascii="宋体" w:hAnsi="宋体" w:cs="宋体"/>
          <w:sz w:val="24"/>
        </w:rPr>
        <w:t>1.特定资格</w:t>
      </w:r>
    </w:p>
    <w:p w14:paraId="62D9E094">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7C9DCE92">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1E0D7B38">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37F87095">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6FC8AEBE">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0081EB82">
      <w:pPr>
        <w:spacing w:line="360" w:lineRule="auto"/>
        <w:rPr>
          <w:rFonts w:ascii="宋体" w:hAnsi="宋体" w:cs="宋体"/>
          <w:sz w:val="24"/>
        </w:rPr>
      </w:pPr>
      <w:r>
        <w:rPr>
          <w:rFonts w:hint="eastAsia" w:ascii="宋体" w:hAnsi="宋体" w:cs="宋体"/>
          <w:sz w:val="24"/>
        </w:rPr>
        <w:t>5.履约保证金：无</w:t>
      </w:r>
    </w:p>
    <w:p w14:paraId="7D87A589">
      <w:pPr>
        <w:spacing w:line="360" w:lineRule="auto"/>
        <w:rPr>
          <w:rFonts w:ascii="宋体" w:hAnsi="宋体" w:cs="宋体"/>
          <w:sz w:val="24"/>
        </w:rPr>
      </w:pPr>
      <w:r>
        <w:rPr>
          <w:rFonts w:hint="eastAsia" w:ascii="宋体" w:hAnsi="宋体" w:cs="宋体"/>
          <w:sz w:val="24"/>
        </w:rPr>
        <w:t>6.付款方式：</w:t>
      </w:r>
    </w:p>
    <w:p w14:paraId="03986496">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638D49CE">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p>
    <w:p w14:paraId="3B8A2354">
      <w:pPr>
        <w:pStyle w:val="2"/>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66E59111">
      <w:pPr>
        <w:pStyle w:val="29"/>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9"/>
        <w:rPr>
          <w:rFonts w:hint="eastAsia" w:asciiTheme="minorEastAsia" w:hAnsiTheme="minorEastAsia"/>
          <w:color w:val="auto"/>
          <w:sz w:val="32"/>
          <w:highlight w:val="none"/>
        </w:rPr>
      </w:pPr>
    </w:p>
    <w:p w14:paraId="54B728AB">
      <w:pPr>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6" w:name="_Toc902"/>
      <w:bookmarkStart w:id="7" w:name="_Toc2479"/>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44E1A2E3">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77D8DE31">
      <w:pPr>
        <w:pStyle w:val="11"/>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2" w:name="_Toc26111"/>
      <w:bookmarkStart w:id="13" w:name="_Toc4559"/>
      <w:bookmarkStart w:id="14" w:name="_Toc11890"/>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hint="eastAsia"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经会计师事务所或者审计机构审计的财务报告</w:t>
      </w:r>
      <w:r>
        <w:rPr>
          <w:rFonts w:hint="eastAsia" w:ascii="宋体" w:hAnsi="宋体"/>
          <w:color w:val="auto"/>
          <w:sz w:val="24"/>
          <w:lang w:eastAsia="zh-CN"/>
        </w:rPr>
        <w:t>，</w:t>
      </w:r>
      <w:r>
        <w:rPr>
          <w:rFonts w:hint="eastAsia" w:ascii="宋体" w:hAnsi="宋体"/>
          <w:color w:val="auto"/>
          <w:sz w:val="24"/>
          <w:lang w:val="en-US" w:eastAsia="zh-CN"/>
        </w:rPr>
        <w:t>或基本开户银行出具的有效资信证明</w:t>
      </w:r>
      <w:r>
        <w:rPr>
          <w:rFonts w:hint="eastAsia" w:ascii="宋体" w:hAnsi="宋体"/>
          <w:color w:val="auto"/>
          <w:sz w:val="24"/>
        </w:rPr>
        <w:t xml:space="preserve">；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5" w:name="_Toc19319"/>
      <w:bookmarkStart w:id="16" w:name="_Toc24403"/>
      <w:bookmarkStart w:id="17" w:name="_Toc569"/>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1" w:name="_Toc8953"/>
      <w:bookmarkStart w:id="22" w:name="_Toc31728"/>
      <w:bookmarkStart w:id="23" w:name="_Toc32668"/>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4"/>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ascii="宋体" w:hAnsi="宋体" w:cs="宋体"/>
                <w:sz w:val="24"/>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0E0226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37475887"/>
      <w:bookmarkStart w:id="38" w:name="_Toc337554757"/>
      <w:bookmarkStart w:id="39" w:name="_Toc304219290"/>
      <w:bookmarkStart w:id="40" w:name="_Toc349642274"/>
      <w:bookmarkStart w:id="41" w:name="_Toc320878673"/>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1E1D8347">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275C5475">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05CAC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4A90A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4B157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2B25A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4490D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433DF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130FA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08017DE9">
      <w:pPr>
        <w:rPr>
          <w:rFonts w:hint="eastAsia"/>
        </w:rPr>
      </w:pPr>
    </w:p>
    <w:p w14:paraId="5CB04AD7">
      <w:pPr>
        <w:pStyle w:val="29"/>
        <w:rPr>
          <w:rFonts w:hint="eastAsia"/>
        </w:rPr>
      </w:pPr>
    </w:p>
    <w:p w14:paraId="14AAE2E8">
      <w:pPr>
        <w:rPr>
          <w:rFonts w:hint="eastAsia"/>
        </w:rPr>
      </w:pPr>
    </w:p>
    <w:p w14:paraId="29A8B692">
      <w:pPr>
        <w:pStyle w:val="29"/>
        <w:rPr>
          <w:rFonts w:hint="eastAsia"/>
        </w:rPr>
      </w:pPr>
    </w:p>
    <w:p w14:paraId="0A53BB6D">
      <w:pPr>
        <w:rPr>
          <w:rFonts w:hint="eastAsia"/>
        </w:rPr>
      </w:pPr>
    </w:p>
    <w:p w14:paraId="0A052FA9">
      <w:pPr>
        <w:pStyle w:val="29"/>
        <w:rPr>
          <w:rFonts w:hint="eastAsia"/>
        </w:rPr>
      </w:pPr>
    </w:p>
    <w:p w14:paraId="5E9EF4C5">
      <w:pPr>
        <w:rPr>
          <w:rFonts w:hint="eastAsia"/>
        </w:rPr>
      </w:pPr>
    </w:p>
    <w:p w14:paraId="49A0089B">
      <w:pPr>
        <w:pStyle w:val="29"/>
        <w:rPr>
          <w:rFonts w:hint="eastAsia"/>
        </w:rPr>
      </w:pPr>
    </w:p>
    <w:p w14:paraId="45B1E2FE">
      <w:pPr>
        <w:rPr>
          <w:rFonts w:hint="eastAsia"/>
        </w:rPr>
      </w:pPr>
    </w:p>
    <w:p w14:paraId="28FA128D">
      <w:pPr>
        <w:pStyle w:val="29"/>
        <w:rPr>
          <w:rFonts w:hint="eastAsia"/>
        </w:rPr>
      </w:pPr>
    </w:p>
    <w:p w14:paraId="4F084A99">
      <w:pPr>
        <w:rPr>
          <w:rFonts w:hint="eastAsia"/>
        </w:rPr>
      </w:pPr>
    </w:p>
    <w:p w14:paraId="567FD104">
      <w:pPr>
        <w:pStyle w:val="29"/>
        <w:rPr>
          <w:rFonts w:hint="eastAsia"/>
        </w:rPr>
      </w:pPr>
    </w:p>
    <w:p w14:paraId="4929EE97">
      <w:pPr>
        <w:rPr>
          <w:rFonts w:hint="eastAsia"/>
        </w:rPr>
      </w:pPr>
    </w:p>
    <w:p w14:paraId="1D0E35DB">
      <w:pPr>
        <w:pStyle w:val="29"/>
        <w:rPr>
          <w:rFonts w:hint="eastAsia"/>
        </w:rPr>
      </w:pPr>
    </w:p>
    <w:p w14:paraId="0BC51DB4">
      <w:pPr>
        <w:rPr>
          <w:rFonts w:hint="eastAsia"/>
        </w:rPr>
      </w:pPr>
    </w:p>
    <w:p w14:paraId="24ADBDE8">
      <w:pPr>
        <w:pStyle w:val="29"/>
        <w:rPr>
          <w:rFonts w:hint="eastAsia"/>
        </w:rPr>
      </w:pPr>
    </w:p>
    <w:p w14:paraId="66D9ED99">
      <w:pPr>
        <w:rPr>
          <w:rFonts w:hint="eastAsia"/>
        </w:rPr>
      </w:pPr>
    </w:p>
    <w:p w14:paraId="0FA02235">
      <w:pPr>
        <w:pStyle w:val="29"/>
        <w:rPr>
          <w:rFonts w:hint="eastAsia"/>
        </w:rPr>
      </w:pPr>
    </w:p>
    <w:p w14:paraId="64F4A5FB">
      <w:pPr>
        <w:rPr>
          <w:rFonts w:hint="eastAsia"/>
        </w:rPr>
      </w:pPr>
    </w:p>
    <w:p w14:paraId="682C5D96">
      <w:pPr>
        <w:pStyle w:val="29"/>
        <w:rPr>
          <w:rFonts w:hint="eastAsia"/>
        </w:rPr>
      </w:pPr>
    </w:p>
    <w:p w14:paraId="358C296D">
      <w:pPr>
        <w:rPr>
          <w:rFonts w:hint="eastAsia"/>
        </w:rPr>
      </w:pPr>
    </w:p>
    <w:p w14:paraId="69CEDF75">
      <w:pPr>
        <w:pStyle w:val="29"/>
        <w:rPr>
          <w:rFonts w:hint="eastAsia"/>
        </w:rPr>
      </w:pPr>
    </w:p>
    <w:p w14:paraId="69917851">
      <w:pPr>
        <w:rPr>
          <w:rFonts w:hint="eastAsia"/>
        </w:rPr>
      </w:pPr>
    </w:p>
    <w:p w14:paraId="075A9D4C">
      <w:pPr>
        <w:pStyle w:val="29"/>
        <w:rPr>
          <w:rFonts w:hint="eastAsia"/>
        </w:rPr>
      </w:pPr>
    </w:p>
    <w:p w14:paraId="54496E8A">
      <w:pPr>
        <w:rPr>
          <w:rFonts w:hint="eastAsia"/>
        </w:rPr>
      </w:pPr>
    </w:p>
    <w:p w14:paraId="3FB6AE4A">
      <w:pPr>
        <w:pStyle w:val="29"/>
        <w:rPr>
          <w:rFonts w:hint="eastAsia"/>
        </w:rPr>
      </w:pPr>
    </w:p>
    <w:p w14:paraId="505D9B5A">
      <w:pPr>
        <w:rPr>
          <w:rFonts w:hint="eastAsia"/>
        </w:rPr>
      </w:pPr>
    </w:p>
    <w:p w14:paraId="29B3D520">
      <w:pPr>
        <w:pStyle w:val="29"/>
        <w:rPr>
          <w:rFonts w:hint="eastAsia"/>
        </w:rPr>
      </w:pPr>
    </w:p>
    <w:p w14:paraId="66C05EC4">
      <w:pPr>
        <w:rPr>
          <w:rFonts w:hint="eastAsia"/>
        </w:rPr>
      </w:pPr>
    </w:p>
    <w:p w14:paraId="5AD71560">
      <w:pPr>
        <w:pStyle w:val="29"/>
        <w:rPr>
          <w:rFonts w:hint="eastAsia"/>
        </w:rPr>
      </w:pPr>
    </w:p>
    <w:p w14:paraId="2CB725C6">
      <w:pPr>
        <w:rPr>
          <w:rFonts w:hint="eastAsia"/>
        </w:rPr>
      </w:pPr>
    </w:p>
    <w:p w14:paraId="2082BB62">
      <w:pPr>
        <w:pStyle w:val="29"/>
        <w:rPr>
          <w:rFonts w:hint="eastAsia"/>
        </w:rPr>
      </w:pPr>
    </w:p>
    <w:p w14:paraId="18D5677F">
      <w:pPr>
        <w:rPr>
          <w:rFonts w:hint="eastAsia"/>
        </w:rPr>
      </w:pPr>
    </w:p>
    <w:p w14:paraId="3DE9C52A">
      <w:pPr>
        <w:pStyle w:val="29"/>
        <w:rPr>
          <w:rFonts w:hint="eastAsia"/>
        </w:rPr>
      </w:pPr>
    </w:p>
    <w:p w14:paraId="30936B94">
      <w:pPr>
        <w:rPr>
          <w:rFonts w:hint="eastAsia"/>
        </w:rPr>
      </w:pPr>
    </w:p>
    <w:p w14:paraId="058749B7">
      <w:pPr>
        <w:pStyle w:val="29"/>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5" w:name="_Toc11982"/>
      <w:bookmarkStart w:id="46" w:name="_Toc23117"/>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7" w:name="_Toc23816"/>
      <w:bookmarkStart w:id="48" w:name="_Toc2049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49" w:name="_Toc4948"/>
      <w:bookmarkStart w:id="50" w:name="_Toc2922"/>
      <w:bookmarkStart w:id="51" w:name="_Toc337475928"/>
      <w:bookmarkStart w:id="52" w:name="_Toc304219331"/>
      <w:bookmarkStart w:id="53" w:name="_Toc28583"/>
      <w:bookmarkStart w:id="54" w:name="_Toc15867"/>
      <w:bookmarkStart w:id="55" w:name="_Toc29526"/>
      <w:bookmarkStart w:id="56" w:name="_Toc337554798"/>
      <w:bookmarkStart w:id="57" w:name="_Toc4599"/>
      <w:bookmarkStart w:id="58" w:name="_Toc12801"/>
      <w:bookmarkStart w:id="59" w:name="_Toc349642319"/>
      <w:bookmarkStart w:id="60" w:name="_Toc30765"/>
      <w:bookmarkStart w:id="61" w:name="_Toc320878714"/>
      <w:bookmarkStart w:id="62" w:name="_Toc10750"/>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Noto Sans SC"/>
    <w:panose1 w:val="00000000000000000000"/>
    <w:charset w:val="00"/>
    <w:family w:val="roman"/>
    <w:pitch w:val="default"/>
    <w:sig w:usb0="00000000" w:usb1="00000000" w:usb2="00000000" w:usb3="00000000" w:csb0="00040001" w:csb1="00000000"/>
  </w:font>
  <w:font w:name="Noto Sans SC">
    <w:panose1 w:val="020B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681C3C"/>
    <w:rsid w:val="03AD3D20"/>
    <w:rsid w:val="03EA337C"/>
    <w:rsid w:val="04437611"/>
    <w:rsid w:val="04744CA2"/>
    <w:rsid w:val="04B0714F"/>
    <w:rsid w:val="04BE595E"/>
    <w:rsid w:val="04C4105D"/>
    <w:rsid w:val="04E61CBE"/>
    <w:rsid w:val="054779D0"/>
    <w:rsid w:val="05680A5D"/>
    <w:rsid w:val="05932A9E"/>
    <w:rsid w:val="05CB5D97"/>
    <w:rsid w:val="05D35F89"/>
    <w:rsid w:val="05EA790D"/>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164CA3"/>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B13162"/>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B7217F5"/>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847ABE"/>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BD4F47"/>
    <w:rsid w:val="7C7B37A9"/>
    <w:rsid w:val="7C9030E0"/>
    <w:rsid w:val="7C9D4740"/>
    <w:rsid w:val="7DC520C1"/>
    <w:rsid w:val="7DF82DB5"/>
    <w:rsid w:val="7E602CED"/>
    <w:rsid w:val="7ED953B5"/>
    <w:rsid w:val="7EDC7236"/>
    <w:rsid w:val="7F130468"/>
    <w:rsid w:val="7F2F0C8C"/>
    <w:rsid w:val="7F784A16"/>
    <w:rsid w:val="7FA8667B"/>
    <w:rsid w:val="7FAD3B3E"/>
    <w:rsid w:val="F9F702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38</Pages>
  <Words>5987</Words>
  <Characters>6223</Characters>
  <Lines>315</Lines>
  <Paragraphs>88</Paragraphs>
  <TotalTime>0</TotalTime>
  <ScaleCrop>false</ScaleCrop>
  <LinksUpToDate>false</LinksUpToDate>
  <CharactersWithSpaces>7098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2020-06-18T14:42:00Z</dcterms:created>
  <dc:creator>NTKO</dc:creator>
  <cp:lastModifiedBy>吕芳</cp:lastModifiedBy>
  <cp:lastPrinted>2022-03-04T09:40:00Z</cp:lastPrinted>
  <dcterms:modified xsi:type="dcterms:W3CDTF">2025-09-29T01:40:01Z</dcterms:modified>
  <dc:title>郑州市盲聋哑学校智能聋生手语翻译显示设备采购项目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CD923BE5C41347C78553901DDF447C13_13</vt:lpwstr>
  </property>
  <property fmtid="{D5CDD505-2E9C-101B-9397-08002B2CF9AE}" pid="4" name="KSOTemplateDocerSaveRecord">
    <vt:lpwstr>eyJoZGlkIjoiNDdiYzIwYzJkY2VlZTA0OGY0ZGI2YmQyZmFjZDk5NjQiLCJ1c2VySWQiOiIxNzM5Mjk3MTU3In0=</vt:lpwstr>
  </property>
</Properties>
</file>