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E8538">
      <w:pPr>
        <w:widowControl/>
        <w:rPr>
          <w:rFonts w:hint="default" w:eastAsiaTheme="minorEastAsia"/>
          <w:b/>
          <w:color w:val="auto"/>
          <w:sz w:val="44"/>
          <w:szCs w:val="44"/>
          <w:highlight w:val="none"/>
          <w:lang w:val="en-US" w:eastAsia="zh-CN"/>
        </w:rPr>
      </w:pPr>
    </w:p>
    <w:p w14:paraId="37056A65">
      <w:pPr>
        <w:widowControl/>
        <w:spacing w:line="360" w:lineRule="auto"/>
        <w:jc w:val="center"/>
        <w:outlineLvl w:val="0"/>
        <w:rPr>
          <w:b/>
          <w:spacing w:val="-6"/>
          <w:sz w:val="52"/>
          <w:szCs w:val="52"/>
        </w:rPr>
      </w:pPr>
      <w:bookmarkStart w:id="0" w:name="_Toc25130"/>
    </w:p>
    <w:p w14:paraId="6D9BCA30">
      <w:pPr>
        <w:widowControl/>
        <w:spacing w:line="360" w:lineRule="auto"/>
        <w:jc w:val="center"/>
        <w:outlineLvl w:val="0"/>
        <w:rPr>
          <w:b/>
          <w:spacing w:val="-6"/>
          <w:sz w:val="52"/>
          <w:szCs w:val="52"/>
        </w:rPr>
      </w:pPr>
    </w:p>
    <w:p w14:paraId="225D3CE7">
      <w:pPr>
        <w:jc w:val="center"/>
        <w:rPr>
          <w:rFonts w:hint="eastAsia" w:ascii="宋体" w:hAnsi="宋体" w:cs="宋体"/>
          <w:b/>
          <w:sz w:val="40"/>
          <w:szCs w:val="40"/>
          <w:highlight w:val="cyan"/>
          <w:lang w:eastAsia="zh-CN"/>
        </w:rPr>
      </w:pPr>
      <w:r>
        <w:rPr>
          <w:rFonts w:hint="eastAsia" w:ascii="宋体" w:hAnsi="宋体" w:cs="宋体"/>
          <w:b/>
          <w:sz w:val="40"/>
          <w:szCs w:val="40"/>
        </w:rPr>
        <w:t>河南省胸科医</w:t>
      </w:r>
      <w:r>
        <w:rPr>
          <w:rFonts w:hint="eastAsia" w:ascii="宋体" w:hAnsi="宋体" w:cs="宋体"/>
          <w:b/>
          <w:sz w:val="40"/>
          <w:szCs w:val="40"/>
        </w:rPr>
        <w:t>院</w:t>
      </w:r>
      <w:r>
        <w:rPr>
          <w:rFonts w:hint="eastAsia" w:ascii="宋体" w:hAnsi="宋体" w:cs="宋体"/>
          <w:b/>
          <w:sz w:val="40"/>
          <w:szCs w:val="40"/>
          <w:lang w:val="en-US" w:eastAsia="zh-CN"/>
        </w:rPr>
        <w:t>临时起搏器</w:t>
      </w:r>
    </w:p>
    <w:p w14:paraId="4198787D">
      <w:pPr>
        <w:jc w:val="center"/>
        <w:rPr>
          <w:rFonts w:ascii="宋体" w:hAnsi="宋体" w:cs="宋体"/>
          <w:b/>
          <w:color w:val="000000" w:themeColor="text1"/>
          <w:sz w:val="40"/>
          <w:szCs w:val="40"/>
          <w:u w:val="none"/>
          <w14:textFill>
            <w14:solidFill>
              <w14:schemeClr w14:val="tx1"/>
            </w14:solidFill>
          </w14:textFill>
        </w:rPr>
      </w:pPr>
      <w:r>
        <w:rPr>
          <w:rFonts w:hint="eastAsia" w:ascii="宋体" w:hAnsi="宋体" w:cs="宋体"/>
          <w:b/>
          <w:color w:val="000000" w:themeColor="text1"/>
          <w:sz w:val="40"/>
          <w:szCs w:val="40"/>
          <w:u w:val="none"/>
          <w14:textFill>
            <w14:solidFill>
              <w14:schemeClr w14:val="tx1"/>
            </w14:solidFill>
          </w14:textFill>
        </w:rPr>
        <w:fldChar w:fldCharType="begin"/>
      </w:r>
      <w:r>
        <w:rPr>
          <w:rFonts w:hint="eastAsia" w:ascii="宋体" w:hAnsi="宋体" w:cs="宋体"/>
          <w:b/>
          <w:color w:val="000000" w:themeColor="text1"/>
          <w:sz w:val="40"/>
          <w:szCs w:val="40"/>
          <w:u w:val="none"/>
          <w14:textFill>
            <w14:solidFill>
              <w14:schemeClr w14:val="tx1"/>
            </w14:solidFill>
          </w14:textFill>
        </w:rPr>
        <w:instrText xml:space="preserve"> HYPERLINK \l "项目资料表" </w:instrText>
      </w:r>
      <w:r>
        <w:rPr>
          <w:rFonts w:hint="eastAsia" w:ascii="宋体" w:hAnsi="宋体" w:cs="宋体"/>
          <w:b/>
          <w:color w:val="000000" w:themeColor="text1"/>
          <w:sz w:val="40"/>
          <w:szCs w:val="40"/>
          <w:u w:val="none"/>
          <w14:textFill>
            <w14:solidFill>
              <w14:schemeClr w14:val="tx1"/>
            </w14:solidFill>
          </w14:textFill>
        </w:rPr>
        <w:fldChar w:fldCharType="separate"/>
      </w:r>
      <w:r>
        <w:rPr>
          <w:rStyle w:val="37"/>
          <w:rFonts w:hint="eastAsia" w:ascii="宋体" w:hAnsi="宋体" w:cs="宋体"/>
          <w:b/>
          <w:color w:val="000000" w:themeColor="text1"/>
          <w:sz w:val="40"/>
          <w:szCs w:val="40"/>
          <w:u w:val="none"/>
          <w14:textFill>
            <w14:solidFill>
              <w14:schemeClr w14:val="tx1"/>
            </w14:solidFill>
          </w14:textFill>
        </w:rPr>
        <w:t>采购项目</w:t>
      </w:r>
      <w:r>
        <w:rPr>
          <w:rFonts w:hint="eastAsia" w:ascii="宋体" w:hAnsi="宋体" w:cs="宋体"/>
          <w:b/>
          <w:color w:val="000000" w:themeColor="text1"/>
          <w:sz w:val="40"/>
          <w:szCs w:val="40"/>
          <w:u w:val="none"/>
          <w14:textFill>
            <w14:solidFill>
              <w14:schemeClr w14:val="tx1"/>
            </w14:solidFill>
          </w14:textFill>
        </w:rPr>
        <w:fldChar w:fldCharType="end"/>
      </w:r>
    </w:p>
    <w:p w14:paraId="22CE72EB">
      <w:pPr>
        <w:ind w:firstLine="803" w:firstLineChars="200"/>
        <w:jc w:val="center"/>
        <w:rPr>
          <w:rFonts w:ascii="宋体" w:hAnsi="宋体" w:cs="宋体"/>
          <w:b/>
          <w:sz w:val="40"/>
          <w:szCs w:val="40"/>
        </w:rPr>
      </w:pPr>
    </w:p>
    <w:p w14:paraId="7C5C5892">
      <w:pPr>
        <w:jc w:val="center"/>
        <w:rPr>
          <w:rFonts w:ascii="宋体" w:hAnsi="宋体" w:cs="宋体"/>
          <w:b/>
          <w:sz w:val="40"/>
          <w:szCs w:val="40"/>
        </w:rPr>
      </w:pPr>
    </w:p>
    <w:p w14:paraId="4C9BD491">
      <w:pPr>
        <w:pStyle w:val="29"/>
      </w:pPr>
    </w:p>
    <w:p w14:paraId="4B9CD38F">
      <w:pPr>
        <w:widowControl/>
        <w:spacing w:line="360" w:lineRule="auto"/>
        <w:jc w:val="center"/>
        <w:outlineLvl w:val="0"/>
        <w:rPr>
          <w:b/>
          <w:sz w:val="52"/>
          <w:szCs w:val="52"/>
        </w:rPr>
      </w:pPr>
    </w:p>
    <w:p w14:paraId="521B0AF6">
      <w:pPr>
        <w:widowControl/>
        <w:spacing w:line="360" w:lineRule="auto"/>
        <w:jc w:val="center"/>
        <w:outlineLvl w:val="0"/>
        <w:rPr>
          <w:b/>
          <w:sz w:val="52"/>
          <w:szCs w:val="52"/>
        </w:rPr>
      </w:pPr>
    </w:p>
    <w:p w14:paraId="76FBA114">
      <w:pPr>
        <w:jc w:val="center"/>
        <w:rPr>
          <w:rFonts w:ascii="宋体" w:hAnsi="宋体" w:cs="宋体"/>
          <w:b/>
          <w:sz w:val="84"/>
        </w:rPr>
      </w:pPr>
      <w:r>
        <w:rPr>
          <w:rFonts w:hint="eastAsia" w:ascii="宋体" w:hAnsi="宋体" w:cs="宋体"/>
          <w:b/>
          <w:sz w:val="84"/>
        </w:rPr>
        <w:t>公开议价文件</w:t>
      </w:r>
    </w:p>
    <w:p w14:paraId="725AF823">
      <w:pPr>
        <w:widowControl/>
        <w:spacing w:line="360" w:lineRule="auto"/>
        <w:jc w:val="center"/>
        <w:outlineLvl w:val="0"/>
        <w:rPr>
          <w:b/>
          <w:sz w:val="52"/>
          <w:szCs w:val="52"/>
        </w:rPr>
      </w:pPr>
    </w:p>
    <w:p w14:paraId="5AC498C1">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5</w:t>
      </w:r>
      <w:r>
        <w:rPr>
          <w:rFonts w:hint="eastAsia" w:ascii="宋体" w:hAnsi="宋体" w:cs="宋体"/>
          <w:b/>
          <w:sz w:val="32"/>
          <w:highlight w:val="none"/>
        </w:rPr>
        <w:t>-</w:t>
      </w:r>
      <w:r>
        <w:rPr>
          <w:rFonts w:hint="eastAsia" w:ascii="宋体" w:hAnsi="宋体" w:cs="宋体"/>
          <w:b/>
          <w:sz w:val="32"/>
          <w:highlight w:val="none"/>
          <w:lang w:val="en-US" w:eastAsia="zh-CN"/>
        </w:rPr>
        <w:t>099</w:t>
      </w:r>
    </w:p>
    <w:p w14:paraId="146A9B8D">
      <w:pPr>
        <w:widowControl/>
        <w:spacing w:line="360" w:lineRule="auto"/>
        <w:outlineLvl w:val="0"/>
        <w:rPr>
          <w:b/>
          <w:sz w:val="52"/>
          <w:szCs w:val="52"/>
          <w:highlight w:val="none"/>
        </w:rPr>
      </w:pPr>
    </w:p>
    <w:p w14:paraId="2F3A82E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1EE5635E">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5</w:t>
      </w:r>
      <w:r>
        <w:rPr>
          <w:rFonts w:hint="eastAsia" w:ascii="宋体" w:hAnsi="宋体" w:cs="宋体"/>
          <w:b/>
          <w:sz w:val="30"/>
          <w:szCs w:val="30"/>
          <w:highlight w:val="none"/>
        </w:rPr>
        <w:t>年</w:t>
      </w:r>
      <w:r>
        <w:rPr>
          <w:rFonts w:hint="eastAsia" w:ascii="宋体" w:hAnsi="宋体" w:cs="宋体"/>
          <w:b/>
          <w:sz w:val="32"/>
          <w:highlight w:val="none"/>
          <w:lang w:val="en-US" w:eastAsia="zh-CN"/>
        </w:rPr>
        <w:t>11</w:t>
      </w:r>
      <w:r>
        <w:rPr>
          <w:rFonts w:hint="eastAsia" w:ascii="宋体" w:hAnsi="宋体" w:cs="宋体"/>
          <w:b/>
          <w:sz w:val="30"/>
          <w:szCs w:val="30"/>
          <w:highlight w:val="none"/>
        </w:rPr>
        <w:t>月</w:t>
      </w:r>
    </w:p>
    <w:p w14:paraId="397ABADD">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11716E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宋体" w:hAnsi="宋体" w:eastAsiaTheme="minorEastAsia" w:cstheme="minorBidi"/>
          <w:b/>
          <w:kern w:val="2"/>
          <w:sz w:val="28"/>
          <w:szCs w:val="28"/>
          <w:highlight w:val="none"/>
          <w:lang w:val="en-US" w:eastAsia="zh-CN" w:bidi="ar-SA"/>
        </w:rPr>
      </w:pPr>
      <w:r>
        <w:rPr>
          <w:rFonts w:hint="eastAsia" w:ascii="宋体" w:hAnsi="宋体" w:eastAsiaTheme="minorEastAsia" w:cstheme="minorBidi"/>
          <w:b/>
          <w:kern w:val="2"/>
          <w:sz w:val="28"/>
          <w:szCs w:val="28"/>
          <w:highlight w:val="none"/>
          <w:lang w:val="en-US" w:eastAsia="zh-CN" w:bidi="ar-SA"/>
        </w:rPr>
        <w:t>河南省胸科医院临时起搏器采购项目 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河南省胸科医院临时起搏器采购项目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临时起搏器</w:t>
      </w:r>
      <w:r>
        <w:rPr>
          <w:rFonts w:hint="eastAsia" w:asciiTheme="minorEastAsia" w:hAnsiTheme="minorEastAsia" w:eastAsiaTheme="minorEastAsia" w:cstheme="minorEastAsia"/>
          <w:color w:val="333333"/>
          <w:sz w:val="24"/>
          <w:szCs w:val="24"/>
          <w:lang w:val="en-US" w:eastAsia="zh-CN"/>
        </w:rPr>
        <w:t>2</w:t>
      </w:r>
      <w:r>
        <w:rPr>
          <w:rFonts w:hint="default" w:asciiTheme="minorEastAsia" w:hAnsiTheme="minorEastAsia" w:eastAsiaTheme="minorEastAsia" w:cstheme="minorEastAsia"/>
          <w:color w:val="333333"/>
          <w:sz w:val="24"/>
          <w:szCs w:val="24"/>
        </w:rPr>
        <w:t>台。</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default" w:asciiTheme="minorEastAsia" w:hAnsiTheme="minorEastAsia" w:eastAsiaTheme="minorEastAsia" w:cstheme="minorEastAsia"/>
          <w:color w:val="333333"/>
          <w:sz w:val="24"/>
          <w:szCs w:val="24"/>
          <w:highlight w:val="none"/>
        </w:rPr>
        <w:t>1</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2、供应商需具有医疗器械经营许可证或医疗器械经营备案凭证；</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3、投标产品具有医疗器械生产许可证、医疗器械产品注册证或医疗器械产品备案凭证；</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（一）时</w:t>
      </w:r>
      <w:r>
        <w:rPr>
          <w:rFonts w:hint="default" w:asciiTheme="minorEastAsia" w:hAnsiTheme="minorEastAsia" w:eastAsiaTheme="minorEastAsia" w:cstheme="minorEastAsia"/>
          <w:color w:val="333333"/>
          <w:sz w:val="24"/>
          <w:szCs w:val="24"/>
          <w:highlight w:val="none"/>
        </w:rPr>
        <w:t>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六、公开议价的时间及地点另行通知。</w:t>
      </w:r>
    </w:p>
    <w:p w14:paraId="613540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七、发布公告的媒介</w:t>
      </w:r>
    </w:p>
    <w:p w14:paraId="39A5AF7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60B05A01">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2902"/>
      <w:bookmarkStart w:id="4" w:name="_Toc6661845"/>
    </w:p>
    <w:bookmarkEnd w:id="3"/>
    <w:bookmarkEnd w:id="4"/>
    <w:p w14:paraId="2BEB173B">
      <w:pPr>
        <w:numPr>
          <w:ilvl w:val="0"/>
          <w:numId w:val="0"/>
        </w:numPr>
        <w:spacing w:line="360" w:lineRule="auto"/>
        <w:rPr>
          <w:rFonts w:hint="eastAsia" w:ascii="宋体" w:hAnsi="宋体" w:cs="宋体"/>
          <w:b/>
          <w:bCs/>
          <w:color w:val="auto"/>
          <w:sz w:val="24"/>
          <w:szCs w:val="24"/>
          <w:lang w:eastAsia="zh-CN"/>
        </w:rPr>
      </w:pPr>
    </w:p>
    <w:p w14:paraId="3F595B18">
      <w:pPr>
        <w:numPr>
          <w:ilvl w:val="0"/>
          <w:numId w:val="0"/>
        </w:numPr>
        <w:spacing w:line="360" w:lineRule="auto"/>
        <w:rPr>
          <w:rFonts w:hint="eastAsia" w:ascii="宋体" w:hAnsi="宋体" w:cs="宋体"/>
          <w:b/>
          <w:bCs/>
          <w:color w:val="auto"/>
          <w:sz w:val="24"/>
          <w:szCs w:val="24"/>
          <w:lang w:eastAsia="zh-CN"/>
        </w:rPr>
      </w:pPr>
    </w:p>
    <w:p w14:paraId="115FC9D0">
      <w:pPr>
        <w:spacing w:line="240" w:lineRule="auto"/>
        <w:rPr>
          <w:rFonts w:hint="eastAsia" w:eastAsia="宋体"/>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一、技术</w:t>
      </w:r>
      <w:r>
        <w:rPr>
          <w:rFonts w:hint="eastAsia" w:ascii="宋体" w:hAnsi="宋体" w:cs="宋体"/>
          <w:b/>
          <w:bCs/>
          <w:color w:val="000000" w:themeColor="text1"/>
          <w:sz w:val="24"/>
          <w:lang w:val="en-US" w:eastAsia="zh-CN"/>
          <w14:textFill>
            <w14:solidFill>
              <w14:schemeClr w14:val="tx1"/>
            </w14:solidFill>
          </w14:textFill>
        </w:rPr>
        <w:t>要求</w:t>
      </w:r>
    </w:p>
    <w:p w14:paraId="72A9C6F5">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1.数量：2台，用于</w:t>
      </w:r>
      <w:r>
        <w:rPr>
          <w:rFonts w:hint="eastAsia" w:ascii="宋体" w:hAnsi="宋体" w:eastAsia="宋体" w:cs="宋体"/>
          <w:color w:val="000000" w:themeColor="text1"/>
          <w:kern w:val="2"/>
          <w:sz w:val="24"/>
          <w:szCs w:val="24"/>
          <w:lang w:val="en-US" w:eastAsia="zh-CN" w:bidi="ar"/>
          <w14:textFill>
            <w14:solidFill>
              <w14:schemeClr w14:val="tx1"/>
            </w14:solidFill>
          </w14:textFill>
        </w:rPr>
        <w:t>治疗、预防或诊断为目的需要短期需求心脏（同步）或异步起搏，可单腔或双腔临时起搏。</w:t>
      </w:r>
    </w:p>
    <w:p w14:paraId="1BC4246C">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2.单腔起搏模式：AAI，AOO，VVI和VOO</w:t>
      </w:r>
    </w:p>
    <w:p w14:paraId="3E854EA3">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3.双腔起搏模式：DDD，DDI，DOO</w:t>
      </w:r>
    </w:p>
    <w:p w14:paraId="578EA607">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4.无起搏疗法：OOO</w:t>
      </w:r>
    </w:p>
    <w:p w14:paraId="6035881B">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5.其他起搏模式：快速心房起搏（RAP）和紧急起搏</w:t>
      </w:r>
    </w:p>
    <w:p w14:paraId="2F7208E3">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6.起搏频率：30-200ppm</w:t>
      </w:r>
    </w:p>
    <w:p w14:paraId="3876A7DF">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7.高频起搏：80-800ppm</w:t>
      </w:r>
    </w:p>
    <w:p w14:paraId="67252484">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8.输出波形：恒定电流-方波</w:t>
      </w:r>
    </w:p>
    <w:p w14:paraId="65FDF198">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9.输出幅度：心房：0.1-20mA; 心室：0.1-25mA</w:t>
      </w:r>
    </w:p>
    <w:p w14:paraId="53F3FF85">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10.脉宽：心房：1.0ms; 心室：1.5ms</w:t>
      </w:r>
    </w:p>
    <w:p w14:paraId="0A949B93">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11.AV延迟：20-300ms</w:t>
      </w:r>
    </w:p>
    <w:p w14:paraId="1CF42B46">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12.灵敏度：心房：0.4-10mV, ASYNC; 心室：0.8-20mV, ASYNC</w:t>
      </w:r>
    </w:p>
    <w:p w14:paraId="71ACE953">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13.不应期：心房：150-500ms</w:t>
      </w:r>
    </w:p>
    <w:p w14:paraId="09C44DD8">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14.电池：2-AA电池（1.5V）</w:t>
      </w:r>
    </w:p>
    <w:p w14:paraId="3782C418">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15.电池寿命：在频率为70次/分钟并且所有其它参数为正常值时，≥7天</w:t>
      </w:r>
    </w:p>
    <w:p w14:paraId="57453EF1">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16.屏幕显示：上下两个屏幕显示</w:t>
      </w:r>
    </w:p>
    <w:p w14:paraId="2FFF205D">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17.显示参数：心率、心房输出、心室输出、模式、电池状态</w:t>
      </w:r>
    </w:p>
    <w:p w14:paraId="160BA7CF">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18.指示灯：心房和心室起搏感知指示灯</w:t>
      </w:r>
    </w:p>
    <w:p w14:paraId="720B50DA">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19.自检功能：开机自检</w:t>
      </w:r>
    </w:p>
    <w:p w14:paraId="093B2284">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20.暂停键：暂停起搏和感知，以查看病人的内在节律</w:t>
      </w:r>
    </w:p>
    <w:p w14:paraId="76480E85">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21.DOO/紧急键：按最大的心房和心室输出启动紧急双腔（DOO）起搏</w:t>
      </w:r>
    </w:p>
    <w:p w14:paraId="44844EB4">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22.安全性：电除颤保护、静电保护</w:t>
      </w:r>
    </w:p>
    <w:p w14:paraId="6EA5E36B">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23.电池取出后持续工作≥30s。</w:t>
      </w:r>
    </w:p>
    <w:p w14:paraId="6AA1C131">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24.其他要求：具有起搏感知状态栏、锁屏、起搏暂停模式、心房追踪自动调整PVARP和AV间期、上限频率、LED背景灯、自动PVARP、时间违规/警告、自动调整、安全模式或更多</w:t>
      </w:r>
    </w:p>
    <w:p w14:paraId="109EF2AC">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p>
    <w:p w14:paraId="0278381C">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25.配置清单（每台）：</w:t>
      </w:r>
    </w:p>
    <w:p w14:paraId="28CB724B">
      <w:pPr>
        <w:pStyle w:val="158"/>
        <w:spacing w:line="240" w:lineRule="auto"/>
        <w:rPr>
          <w:rFonts w:hint="eastAsia" w:ascii="宋体" w:hAnsi="宋体" w:cs="宋体"/>
          <w:color w:val="000000" w:themeColor="text1"/>
          <w:sz w:val="24"/>
          <w:szCs w:val="24"/>
          <w:lang w:val="en-US" w:eastAsia="zh-CN"/>
          <w14:textFill>
            <w14:solidFill>
              <w14:schemeClr w14:val="tx1"/>
            </w14:solidFill>
          </w14:textFill>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2841"/>
        <w:gridCol w:w="1416"/>
      </w:tblGrid>
      <w:tr w14:paraId="7F5B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83" w:type="dxa"/>
            <w:vAlign w:val="center"/>
          </w:tcPr>
          <w:p w14:paraId="1F3D6DF3">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序号</w:t>
            </w:r>
          </w:p>
        </w:tc>
        <w:tc>
          <w:tcPr>
            <w:tcW w:w="2841" w:type="dxa"/>
            <w:vAlign w:val="center"/>
          </w:tcPr>
          <w:p w14:paraId="64F41214">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名称</w:t>
            </w:r>
          </w:p>
        </w:tc>
        <w:tc>
          <w:tcPr>
            <w:tcW w:w="1416" w:type="dxa"/>
            <w:vAlign w:val="center"/>
          </w:tcPr>
          <w:p w14:paraId="563B8395">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数量</w:t>
            </w:r>
          </w:p>
        </w:tc>
      </w:tr>
      <w:tr w14:paraId="7299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83" w:type="dxa"/>
            <w:vAlign w:val="center"/>
          </w:tcPr>
          <w:p w14:paraId="591FDEE2">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1</w:t>
            </w:r>
          </w:p>
        </w:tc>
        <w:tc>
          <w:tcPr>
            <w:tcW w:w="2841" w:type="dxa"/>
            <w:vAlign w:val="center"/>
          </w:tcPr>
          <w:p w14:paraId="1DCA4CD1">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主机</w:t>
            </w:r>
          </w:p>
        </w:tc>
        <w:tc>
          <w:tcPr>
            <w:tcW w:w="1416" w:type="dxa"/>
            <w:vAlign w:val="center"/>
          </w:tcPr>
          <w:p w14:paraId="71F4F980">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1台</w:t>
            </w:r>
          </w:p>
        </w:tc>
      </w:tr>
      <w:tr w14:paraId="4EB7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83" w:type="dxa"/>
            <w:vAlign w:val="center"/>
          </w:tcPr>
          <w:p w14:paraId="7A9DCDC9">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2</w:t>
            </w:r>
          </w:p>
        </w:tc>
        <w:tc>
          <w:tcPr>
            <w:tcW w:w="2841" w:type="dxa"/>
            <w:vAlign w:val="center"/>
          </w:tcPr>
          <w:p w14:paraId="3ED6513B">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起搏器导线</w:t>
            </w:r>
          </w:p>
        </w:tc>
        <w:tc>
          <w:tcPr>
            <w:tcW w:w="1416" w:type="dxa"/>
            <w:vAlign w:val="center"/>
          </w:tcPr>
          <w:p w14:paraId="2D8B3DDB">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000000" w:themeColor="text1"/>
                <w:sz w:val="24"/>
                <w:szCs w:val="24"/>
                <w:vertAlign w:val="baseline"/>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1条</w:t>
            </w:r>
          </w:p>
        </w:tc>
      </w:tr>
    </w:tbl>
    <w:p w14:paraId="003415EE">
      <w:pPr>
        <w:pStyle w:val="158"/>
        <w:spacing w:line="240" w:lineRule="auto"/>
        <w:rPr>
          <w:rFonts w:hint="default" w:ascii="宋体" w:hAnsi="宋体" w:cs="宋体"/>
          <w:color w:val="000000" w:themeColor="text1"/>
          <w:sz w:val="24"/>
          <w:szCs w:val="24"/>
          <w:lang w:val="en-US" w:eastAsia="zh-CN"/>
          <w14:textFill>
            <w14:solidFill>
              <w14:schemeClr w14:val="tx1"/>
            </w14:solidFill>
          </w14:textFill>
        </w:rPr>
      </w:pPr>
    </w:p>
    <w:p w14:paraId="07CD7AC2">
      <w:pPr>
        <w:spacing w:line="360" w:lineRule="auto"/>
        <w:rPr>
          <w:rFonts w:hint="eastAsia" w:ascii="宋体" w:hAnsi="宋体"/>
          <w:b/>
          <w:bCs/>
          <w:color w:val="000000" w:themeColor="text1"/>
          <w:sz w:val="24"/>
          <w14:textFill>
            <w14:solidFill>
              <w14:schemeClr w14:val="tx1"/>
            </w14:solidFill>
          </w14:textFill>
        </w:rPr>
      </w:pPr>
    </w:p>
    <w:p w14:paraId="37ECF14A">
      <w:pPr>
        <w:spacing w:line="360" w:lineRule="auto"/>
        <w:rPr>
          <w:rFonts w:hint="eastAsia" w:ascii="宋体" w:hAnsi="宋体"/>
          <w:b/>
          <w:bCs/>
          <w:color w:val="000000" w:themeColor="text1"/>
          <w:sz w:val="24"/>
          <w14:textFill>
            <w14:solidFill>
              <w14:schemeClr w14:val="tx1"/>
            </w14:solidFill>
          </w14:textFill>
        </w:rPr>
      </w:pPr>
    </w:p>
    <w:p w14:paraId="41772AED">
      <w:pPr>
        <w:spacing w:line="360" w:lineRule="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二、商务要求</w:t>
      </w:r>
      <w:r>
        <w:rPr>
          <w:rFonts w:hint="eastAsia" w:ascii="宋体" w:hAnsi="宋体" w:cs="宋体"/>
          <w:color w:val="000000" w:themeColor="text1"/>
          <w:sz w:val="24"/>
          <w14:textFill>
            <w14:solidFill>
              <w14:schemeClr w14:val="tx1"/>
            </w14:solidFill>
          </w14:textFill>
        </w:rPr>
        <w:t xml:space="preserve"> </w:t>
      </w:r>
    </w:p>
    <w:p w14:paraId="745D407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1.特定资格要求：</w:t>
      </w:r>
    </w:p>
    <w:p w14:paraId="726D8B23">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响应产品须具有医疗器械产品注册证或医疗器械产品备案凭证；</w:t>
      </w:r>
    </w:p>
    <w:p w14:paraId="022881E4">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 供应商如为生产厂家须具有相适应的生产资格（医疗器械生产许可证或医疗器械生产备案凭证）；如为代理商（经销商）须具有相应的经营资格（医疗器械经营许可证或医疗器械经营备案凭证）。</w:t>
      </w:r>
    </w:p>
    <w:p w14:paraId="091BFC2E">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2.交货期：合同签订后</w:t>
      </w:r>
      <w:r>
        <w:rPr>
          <w:rFonts w:hint="eastAsia" w:ascii="宋体" w:hAnsi="宋体" w:cs="宋体"/>
          <w:b/>
          <w:bCs/>
          <w:color w:val="FF0000"/>
          <w:sz w:val="24"/>
          <w:lang w:val="en-US" w:eastAsia="zh-CN"/>
        </w:rPr>
        <w:t>30</w:t>
      </w:r>
      <w:r>
        <w:rPr>
          <w:rFonts w:hint="eastAsia" w:ascii="宋体" w:hAnsi="宋体" w:cs="宋体"/>
          <w:b/>
          <w:bCs/>
          <w:color w:val="FF0000"/>
          <w:sz w:val="24"/>
        </w:rPr>
        <w:t>日历天</w:t>
      </w:r>
    </w:p>
    <w:p w14:paraId="00012D90">
      <w:pPr>
        <w:spacing w:line="360" w:lineRule="auto"/>
        <w:rPr>
          <w:rFonts w:hint="eastAsia"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3.是否接受进口产品</w:t>
      </w: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FF0000"/>
          <w:sz w:val="24"/>
          <w:lang w:val="en-US" w:eastAsia="zh-CN"/>
        </w:rPr>
        <w:t>是</w:t>
      </w:r>
    </w:p>
    <w:p w14:paraId="4BE99B3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4.质保期：</w:t>
      </w:r>
      <w:r>
        <w:rPr>
          <w:rFonts w:hint="eastAsia" w:ascii="宋体" w:hAnsi="宋体" w:cs="宋体"/>
          <w:b/>
          <w:bCs/>
          <w:color w:val="FF0000"/>
          <w:sz w:val="24"/>
        </w:rPr>
        <w:t>≥3年</w:t>
      </w:r>
      <w:r>
        <w:rPr>
          <w:rFonts w:hint="eastAsia" w:ascii="宋体" w:hAnsi="宋体" w:cs="宋体"/>
          <w:color w:val="000000" w:themeColor="text1"/>
          <w:sz w:val="24"/>
          <w14:textFill>
            <w14:solidFill>
              <w14:schemeClr w14:val="tx1"/>
            </w14:solidFill>
          </w14:textFill>
        </w:rPr>
        <w:t>（供应商需明确具体年数）</w:t>
      </w:r>
    </w:p>
    <w:p w14:paraId="403F9AF4">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5.履约保证金：无</w:t>
      </w:r>
    </w:p>
    <w:p w14:paraId="48E231A1">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6.付款方式：</w:t>
      </w:r>
    </w:p>
    <w:p w14:paraId="28731B44">
      <w:pPr>
        <w:spacing w:line="360" w:lineRule="auto"/>
        <w:ind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color w:val="000000" w:themeColor="text1"/>
          <w:sz w:val="24"/>
          <w14:textFill>
            <w14:solidFill>
              <w14:schemeClr w14:val="tx1"/>
            </w14:solidFill>
          </w14:textFill>
        </w:rPr>
        <w:t>货款。成交人在接收货款前，应向采购人开具正规发票。</w:t>
      </w:r>
    </w:p>
    <w:p w14:paraId="7337A9AC">
      <w:pPr>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6.2．余下的</w:t>
      </w:r>
      <w:r>
        <w:rPr>
          <w:rFonts w:hint="eastAsia" w:ascii="宋体" w:hAnsi="宋体" w:cs="宋体"/>
          <w:b/>
          <w:bCs/>
          <w:color w:val="FF0000"/>
          <w:sz w:val="24"/>
        </w:rPr>
        <w:t>5%</w:t>
      </w:r>
      <w:r>
        <w:rPr>
          <w:rFonts w:hint="eastAsia" w:ascii="宋体" w:hAnsi="宋体" w:cs="宋体"/>
          <w:color w:val="000000" w:themeColor="text1"/>
          <w:sz w:val="24"/>
          <w14:textFill>
            <w14:solidFill>
              <w14:schemeClr w14:val="tx1"/>
            </w14:solidFill>
          </w14:textFill>
        </w:rPr>
        <w:t>货款于质保期满后，依据投标文件，所承诺的优惠条件、售后服务计划、培训计划等执行到位后，按规定程序办理支付手续，一次性付清。</w:t>
      </w:r>
    </w:p>
    <w:p w14:paraId="2C054E88">
      <w:pPr>
        <w:spacing w:line="360" w:lineRule="auto"/>
        <w:ind w:firstLine="240" w:firstLineChars="100"/>
        <w:rPr>
          <w:rFonts w:hint="eastAsia" w:ascii="宋体" w:hAnsi="宋体" w:eastAsia="宋体"/>
          <w:b w:val="0"/>
          <w:bCs w:val="0"/>
          <w:sz w:val="24"/>
          <w:szCs w:val="24"/>
          <w:lang w:val="en-US" w:eastAsia="zh-CN"/>
        </w:rPr>
      </w:pPr>
    </w:p>
    <w:p w14:paraId="7AFF7A76">
      <w:pPr>
        <w:rPr>
          <w:rFonts w:hint="eastAsia"/>
          <w:b/>
          <w:sz w:val="32"/>
          <w:szCs w:val="32"/>
        </w:rPr>
      </w:pPr>
    </w:p>
    <w:p w14:paraId="43E81FA1">
      <w:pPr>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2479"/>
      <w:bookmarkStart w:id="7" w:name="_Toc902"/>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26111"/>
      <w:bookmarkStart w:id="13" w:name="_Toc4559"/>
      <w:bookmarkStart w:id="14" w:name="_Toc11890"/>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569"/>
      <w:bookmarkStart w:id="16" w:name="_Toc24403"/>
      <w:bookmarkStart w:id="17" w:name="_Toc1931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0542"/>
      <w:bookmarkStart w:id="19" w:name="_Toc197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31728"/>
      <w:bookmarkStart w:id="22" w:name="_Toc32668"/>
      <w:bookmarkStart w:id="23" w:name="_Toc8953"/>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8259"/>
      <w:bookmarkStart w:id="28" w:name="_Toc24684"/>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11219"/>
      <w:bookmarkStart w:id="31" w:name="_Toc28112"/>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bookmarkStart w:id="67" w:name="_GoBack"/>
      <w:bookmarkEnd w:id="67"/>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04219290"/>
      <w:bookmarkStart w:id="38" w:name="_Toc349642274"/>
      <w:bookmarkStart w:id="39" w:name="_Toc337554757"/>
      <w:bookmarkStart w:id="40" w:name="_Toc320878673"/>
      <w:bookmarkStart w:id="41" w:name="_Toc33747588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30834"/>
      <w:bookmarkStart w:id="4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3BE23111">
      <w:pPr>
        <w:pStyle w:val="29"/>
        <w:rPr>
          <w:rFonts w:hint="eastAsia"/>
        </w:rPr>
      </w:pPr>
    </w:p>
    <w:p w14:paraId="7C75A853">
      <w:pPr>
        <w:rPr>
          <w:rFonts w:hint="eastAsia"/>
        </w:rPr>
      </w:pPr>
    </w:p>
    <w:p w14:paraId="387CE8AC">
      <w:pPr>
        <w:pStyle w:val="29"/>
        <w:rPr>
          <w:rFonts w:hint="eastAsia"/>
        </w:rPr>
      </w:pPr>
    </w:p>
    <w:p w14:paraId="6B872ED7">
      <w:pPr>
        <w:rPr>
          <w:rFonts w:hint="eastAsia"/>
        </w:rPr>
      </w:pPr>
    </w:p>
    <w:p w14:paraId="16E19B26">
      <w:pPr>
        <w:pStyle w:val="29"/>
        <w:rPr>
          <w:rFonts w:hint="eastAsia"/>
        </w:rPr>
      </w:pPr>
    </w:p>
    <w:p w14:paraId="6AA0398E">
      <w:pPr>
        <w:rPr>
          <w:rFonts w:hint="eastAsia"/>
        </w:rPr>
      </w:pPr>
    </w:p>
    <w:p w14:paraId="7BFA5299">
      <w:pPr>
        <w:pStyle w:val="29"/>
        <w:rPr>
          <w:rFonts w:hint="eastAsia"/>
        </w:rPr>
      </w:pPr>
    </w:p>
    <w:p w14:paraId="1AB14EF5">
      <w:pPr>
        <w:rPr>
          <w:rFonts w:hint="eastAsia"/>
        </w:rPr>
      </w:pPr>
    </w:p>
    <w:p w14:paraId="5009ACF6">
      <w:pPr>
        <w:pStyle w:val="29"/>
        <w:rPr>
          <w:rFonts w:hint="eastAsia"/>
        </w:rPr>
      </w:pPr>
    </w:p>
    <w:p w14:paraId="5D7FF4CA">
      <w:pPr>
        <w:rPr>
          <w:rFonts w:hint="eastAsia"/>
        </w:rPr>
      </w:pPr>
    </w:p>
    <w:p w14:paraId="31D8C8B3">
      <w:pPr>
        <w:pStyle w:val="29"/>
        <w:rPr>
          <w:rFonts w:hint="eastAsia"/>
        </w:rPr>
      </w:pPr>
    </w:p>
    <w:p w14:paraId="28E13829">
      <w:pPr>
        <w:rPr>
          <w:rFonts w:hint="eastAsia"/>
        </w:rPr>
      </w:pPr>
    </w:p>
    <w:p w14:paraId="4ADF7C65">
      <w:pPr>
        <w:pStyle w:val="29"/>
        <w:rPr>
          <w:rFonts w:hint="eastAsia"/>
        </w:rPr>
      </w:pPr>
    </w:p>
    <w:p w14:paraId="7CF9FA9C">
      <w:pPr>
        <w:rPr>
          <w:rFonts w:hint="eastAsia"/>
        </w:rPr>
      </w:pPr>
    </w:p>
    <w:p w14:paraId="58DF44A7">
      <w:pPr>
        <w:pStyle w:val="29"/>
        <w:rPr>
          <w:rFonts w:hint="eastAsia"/>
        </w:rPr>
      </w:pPr>
    </w:p>
    <w:p w14:paraId="4C26B79B">
      <w:pPr>
        <w:rPr>
          <w:rFonts w:hint="eastAsia"/>
        </w:rPr>
      </w:pPr>
    </w:p>
    <w:p w14:paraId="78D5114F">
      <w:pPr>
        <w:pStyle w:val="29"/>
        <w:rPr>
          <w:rFonts w:hint="eastAsia"/>
        </w:rPr>
      </w:pPr>
    </w:p>
    <w:p w14:paraId="6532BDC6">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23117"/>
      <w:bookmarkStart w:id="46" w:name="_Toc11982"/>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0496"/>
      <w:bookmarkStart w:id="48" w:name="_Toc2381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4948"/>
      <w:bookmarkStart w:id="50" w:name="_Toc2922"/>
      <w:bookmarkStart w:id="51" w:name="_Toc29526"/>
      <w:bookmarkStart w:id="52" w:name="_Toc12801"/>
      <w:bookmarkStart w:id="53" w:name="_Toc304219331"/>
      <w:bookmarkStart w:id="54" w:name="_Toc349642319"/>
      <w:bookmarkStart w:id="55" w:name="_Toc337475928"/>
      <w:bookmarkStart w:id="56" w:name="_Toc30765"/>
      <w:bookmarkStart w:id="57" w:name="_Toc320878714"/>
      <w:bookmarkStart w:id="58" w:name="_Toc28583"/>
      <w:bookmarkStart w:id="59" w:name="_Toc10750"/>
      <w:bookmarkStart w:id="60" w:name="_Toc337554798"/>
      <w:bookmarkStart w:id="61" w:name="_Toc15867"/>
      <w:bookmarkStart w:id="62" w:name="_Toc4599"/>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7593"/>
      <w:bookmarkStart w:id="66" w:name="_Toc11154"/>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mp;quot">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C857">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AF5DAD"/>
    <w:rsid w:val="27BC3E13"/>
    <w:rsid w:val="27C326E9"/>
    <w:rsid w:val="27E36980"/>
    <w:rsid w:val="280817DA"/>
    <w:rsid w:val="285C714C"/>
    <w:rsid w:val="28684875"/>
    <w:rsid w:val="288E5405"/>
    <w:rsid w:val="291179B3"/>
    <w:rsid w:val="2968678D"/>
    <w:rsid w:val="29A51AC7"/>
    <w:rsid w:val="29C27101"/>
    <w:rsid w:val="29C309A3"/>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8716DC"/>
    <w:rsid w:val="7BF604ED"/>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38</Pages>
  <Words>3121</Words>
  <Characters>3279</Characters>
  <Lines>315</Lines>
  <Paragraphs>88</Paragraphs>
  <TotalTime>2</TotalTime>
  <ScaleCrop>false</ScaleCrop>
  <LinksUpToDate>false</LinksUpToDate>
  <CharactersWithSpaces>3735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卢松岭</cp:lastModifiedBy>
  <cp:lastPrinted>2022-03-04T01:40:00Z</cp:lastPrinted>
  <dcterms:modified xsi:type="dcterms:W3CDTF">2025-10-31T07:12:22Z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8E759D5CA1424E9982A48AA27E892BDC_13</vt:lpwstr>
  </property>
  <property fmtid="{D5CDD505-2E9C-101B-9397-08002B2CF9AE}" pid="4" name="KSOTemplateDocerSaveRecord">
    <vt:lpwstr>eyJoZGlkIjoiMTUyMDA2ZjQ4N2YyNDAzZWJjY2U2NWNkZDY5ZDY4ZDAiLCJ1c2VySWQiOiIxNTkzMTM1MzcxIn0=</vt:lpwstr>
  </property>
</Properties>
</file>