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D9BCA30">
      <w:pPr>
        <w:widowControl/>
        <w:spacing w:line="360" w:lineRule="auto"/>
        <w:jc w:val="center"/>
        <w:outlineLvl w:val="0"/>
        <w:rPr>
          <w:b/>
          <w:spacing w:val="-6"/>
          <w:sz w:val="52"/>
          <w:szCs w:val="52"/>
        </w:rPr>
      </w:pPr>
    </w:p>
    <w:p w14:paraId="225D3CE7">
      <w:pPr>
        <w:jc w:val="center"/>
        <w:rPr>
          <w:rFonts w:hint="eastAsia" w:ascii="宋体" w:hAnsi="宋体" w:cs="宋体"/>
          <w:b/>
          <w:sz w:val="40"/>
          <w:szCs w:val="40"/>
          <w:highlight w:val="cyan"/>
          <w:lang w:eastAsia="zh-CN"/>
        </w:rPr>
      </w:pPr>
      <w:r>
        <w:rPr>
          <w:rFonts w:hint="eastAsia" w:ascii="宋体" w:hAnsi="宋体" w:cs="宋体"/>
          <w:b/>
          <w:sz w:val="40"/>
          <w:szCs w:val="40"/>
        </w:rPr>
        <w:t>河南省胸科医院</w:t>
      </w:r>
      <w:r>
        <w:rPr>
          <w:rFonts w:hint="eastAsia" w:ascii="宋体" w:hAnsi="宋体" w:cs="宋体"/>
          <w:b/>
          <w:sz w:val="40"/>
          <w:szCs w:val="40"/>
          <w:lang w:val="en-US" w:eastAsia="zh-CN"/>
        </w:rPr>
        <w:t>临时起搏器</w:t>
      </w:r>
    </w:p>
    <w:p w14:paraId="4198787D">
      <w:pPr>
        <w:jc w:val="center"/>
        <w:rPr>
          <w:rFonts w:hint="eastAsia" w:ascii="宋体" w:hAnsi="宋体" w:cs="宋体" w:eastAsiaTheme="minorEastAsia"/>
          <w:b/>
          <w:color w:val="000000" w:themeColor="text1"/>
          <w:sz w:val="40"/>
          <w:szCs w:val="40"/>
          <w:u w:val="none"/>
          <w:lang w:eastAsia="zh-CN"/>
          <w14:textFill>
            <w14:solidFill>
              <w14:schemeClr w14:val="tx1"/>
            </w14:solidFill>
          </w14:textFill>
        </w:rPr>
      </w:pPr>
      <w:r>
        <w:rPr>
          <w:rFonts w:hint="eastAsia" w:ascii="宋体" w:hAnsi="宋体" w:cs="宋体"/>
          <w:b/>
          <w:color w:val="000000" w:themeColor="text1"/>
          <w:sz w:val="40"/>
          <w:szCs w:val="40"/>
          <w:u w:val="none"/>
          <w14:textFill>
            <w14:solidFill>
              <w14:schemeClr w14:val="tx1"/>
            </w14:solidFill>
          </w14:textFill>
        </w:rPr>
        <w:fldChar w:fldCharType="begin"/>
      </w:r>
      <w:r>
        <w:rPr>
          <w:rFonts w:hint="eastAsia" w:ascii="宋体" w:hAnsi="宋体" w:cs="宋体"/>
          <w:b/>
          <w:color w:val="000000" w:themeColor="text1"/>
          <w:sz w:val="40"/>
          <w:szCs w:val="40"/>
          <w:u w:val="none"/>
          <w14:textFill>
            <w14:solidFill>
              <w14:schemeClr w14:val="tx1"/>
            </w14:solidFill>
          </w14:textFill>
        </w:rPr>
        <w:instrText xml:space="preserve"> HYPERLINK \l "项目资料表" </w:instrText>
      </w:r>
      <w:r>
        <w:rPr>
          <w:rFonts w:hint="eastAsia" w:ascii="宋体" w:hAnsi="宋体" w:cs="宋体"/>
          <w:b/>
          <w:color w:val="000000" w:themeColor="text1"/>
          <w:sz w:val="40"/>
          <w:szCs w:val="40"/>
          <w:u w:val="none"/>
          <w14:textFill>
            <w14:solidFill>
              <w14:schemeClr w14:val="tx1"/>
            </w14:solidFill>
          </w14:textFill>
        </w:rPr>
        <w:fldChar w:fldCharType="separate"/>
      </w:r>
      <w:r>
        <w:rPr>
          <w:rStyle w:val="37"/>
          <w:rFonts w:hint="eastAsia" w:ascii="宋体" w:hAnsi="宋体" w:cs="宋体"/>
          <w:b/>
          <w:color w:val="000000" w:themeColor="text1"/>
          <w:sz w:val="40"/>
          <w:szCs w:val="40"/>
          <w:u w:val="none"/>
          <w14:textFill>
            <w14:solidFill>
              <w14:schemeClr w14:val="tx1"/>
            </w14:solidFill>
          </w14:textFill>
        </w:rPr>
        <w:t>采购项目</w:t>
      </w:r>
      <w:r>
        <w:rPr>
          <w:rFonts w:hint="eastAsia" w:ascii="宋体" w:hAnsi="宋体" w:cs="宋体"/>
          <w:b/>
          <w:color w:val="000000" w:themeColor="text1"/>
          <w:sz w:val="40"/>
          <w:szCs w:val="40"/>
          <w:u w:val="none"/>
          <w14:textFill>
            <w14:solidFill>
              <w14:schemeClr w14:val="tx1"/>
            </w14:solidFill>
          </w14:textFill>
        </w:rPr>
        <w:fldChar w:fldCharType="end"/>
      </w:r>
      <w:r>
        <w:rPr>
          <w:rFonts w:hint="eastAsia" w:ascii="宋体" w:hAnsi="宋体" w:cs="宋体"/>
          <w:b/>
          <w:color w:val="000000" w:themeColor="text1"/>
          <w:sz w:val="40"/>
          <w:szCs w:val="40"/>
          <w:u w:val="none"/>
          <w:lang w:eastAsia="zh-CN"/>
          <w14:textFill>
            <w14:solidFill>
              <w14:schemeClr w14:val="tx1"/>
            </w14:solidFill>
          </w14:textFill>
        </w:rPr>
        <w:t>（</w:t>
      </w:r>
      <w:r>
        <w:rPr>
          <w:rFonts w:hint="eastAsia" w:ascii="宋体" w:hAnsi="宋体" w:cs="宋体"/>
          <w:b/>
          <w:color w:val="000000" w:themeColor="text1"/>
          <w:sz w:val="40"/>
          <w:szCs w:val="40"/>
          <w:u w:val="none"/>
          <w:lang w:val="en-US" w:eastAsia="zh-CN"/>
          <w14:textFill>
            <w14:solidFill>
              <w14:schemeClr w14:val="tx1"/>
            </w14:solidFill>
          </w14:textFill>
        </w:rPr>
        <w:t>二次</w:t>
      </w:r>
      <w:r>
        <w:rPr>
          <w:rFonts w:hint="eastAsia" w:ascii="宋体" w:hAnsi="宋体" w:cs="宋体"/>
          <w:b/>
          <w:color w:val="000000" w:themeColor="text1"/>
          <w:sz w:val="40"/>
          <w:szCs w:val="40"/>
          <w:u w:val="none"/>
          <w:lang w:eastAsia="zh-CN"/>
          <w14:textFill>
            <w14:solidFill>
              <w14:schemeClr w14:val="tx1"/>
            </w14:solidFill>
          </w14:textFill>
        </w:rPr>
        <w:t>）</w:t>
      </w:r>
    </w:p>
    <w:p w14:paraId="22CE72EB">
      <w:pPr>
        <w:ind w:firstLine="803" w:firstLineChars="200"/>
        <w:jc w:val="center"/>
        <w:rPr>
          <w:rFonts w:ascii="宋体" w:hAnsi="宋体" w:cs="宋体"/>
          <w:b/>
          <w:sz w:val="40"/>
          <w:szCs w:val="40"/>
        </w:rPr>
      </w:pPr>
    </w:p>
    <w:p w14:paraId="7C5C5892">
      <w:pPr>
        <w:jc w:val="center"/>
        <w:rPr>
          <w:rFonts w:ascii="宋体" w:hAnsi="宋体" w:cs="宋体"/>
          <w:b/>
          <w:sz w:val="40"/>
          <w:szCs w:val="40"/>
        </w:rPr>
      </w:pPr>
    </w:p>
    <w:p w14:paraId="4C9BD491">
      <w:pPr>
        <w:pStyle w:val="29"/>
      </w:pPr>
    </w:p>
    <w:p w14:paraId="4B9CD38F">
      <w:pPr>
        <w:widowControl/>
        <w:spacing w:line="360" w:lineRule="auto"/>
        <w:jc w:val="center"/>
        <w:outlineLvl w:val="0"/>
        <w:rPr>
          <w:b/>
          <w:sz w:val="52"/>
          <w:szCs w:val="52"/>
        </w:rPr>
      </w:pPr>
    </w:p>
    <w:p w14:paraId="521B0AF6">
      <w:pPr>
        <w:widowControl/>
        <w:spacing w:line="360" w:lineRule="auto"/>
        <w:jc w:val="center"/>
        <w:outlineLvl w:val="0"/>
        <w:rPr>
          <w:b/>
          <w:sz w:val="52"/>
          <w:szCs w:val="52"/>
        </w:rPr>
      </w:pPr>
    </w:p>
    <w:p w14:paraId="76FBA114">
      <w:pPr>
        <w:jc w:val="center"/>
        <w:rPr>
          <w:rFonts w:ascii="宋体" w:hAnsi="宋体" w:cs="宋体"/>
          <w:b/>
          <w:sz w:val="84"/>
        </w:rPr>
      </w:pPr>
      <w:r>
        <w:rPr>
          <w:rFonts w:hint="eastAsia" w:ascii="宋体" w:hAnsi="宋体" w:cs="宋体"/>
          <w:b/>
          <w:sz w:val="84"/>
        </w:rPr>
        <w:t>公开议价文件</w:t>
      </w:r>
    </w:p>
    <w:p w14:paraId="725AF823">
      <w:pPr>
        <w:widowControl/>
        <w:spacing w:line="360" w:lineRule="auto"/>
        <w:jc w:val="center"/>
        <w:outlineLvl w:val="0"/>
        <w:rPr>
          <w:b/>
          <w:sz w:val="52"/>
          <w:szCs w:val="52"/>
        </w:rPr>
      </w:pPr>
    </w:p>
    <w:p w14:paraId="5AC498C1">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val="en-US" w:eastAsia="zh-CN"/>
        </w:rPr>
        <w:t>099</w:t>
      </w:r>
    </w:p>
    <w:p w14:paraId="146A9B8D">
      <w:pPr>
        <w:widowControl/>
        <w:spacing w:line="360" w:lineRule="auto"/>
        <w:outlineLvl w:val="0"/>
        <w:rPr>
          <w:b/>
          <w:sz w:val="52"/>
          <w:szCs w:val="52"/>
          <w:highlight w:val="none"/>
        </w:rPr>
      </w:pPr>
    </w:p>
    <w:p w14:paraId="2F3A82E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EE5635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11</w:t>
      </w:r>
      <w:r>
        <w:rPr>
          <w:rFonts w:hint="eastAsia" w:ascii="宋体" w:hAnsi="宋体" w:cs="宋体"/>
          <w:b/>
          <w:sz w:val="30"/>
          <w:szCs w:val="30"/>
          <w:highlight w:val="none"/>
        </w:rPr>
        <w:t>月</w:t>
      </w: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31DFAF3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宋体" w:hAnsi="宋体" w:eastAsiaTheme="minorEastAsia" w:cstheme="minorBidi"/>
          <w:b/>
          <w:kern w:val="2"/>
          <w:sz w:val="28"/>
          <w:szCs w:val="28"/>
          <w:highlight w:val="none"/>
          <w:lang w:val="en-US" w:eastAsia="zh-CN" w:bidi="ar-SA"/>
        </w:rPr>
      </w:pPr>
      <w:bookmarkStart w:id="67" w:name="_GoBack"/>
      <w:bookmarkEnd w:id="67"/>
      <w:r>
        <w:rPr>
          <w:rFonts w:hint="eastAsia" w:ascii="宋体" w:hAnsi="宋体" w:eastAsiaTheme="minorEastAsia" w:cstheme="minorBidi"/>
          <w:b/>
          <w:kern w:val="2"/>
          <w:sz w:val="28"/>
          <w:szCs w:val="28"/>
          <w:highlight w:val="none"/>
          <w:lang w:val="en-US" w:eastAsia="zh-CN" w:bidi="ar-SA"/>
        </w:rPr>
        <w:t>河南省胸科医院临时起搏器采购项目（二次） 公开议价公告</w:t>
      </w:r>
    </w:p>
    <w:p w14:paraId="1766F2A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5DD221F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河南省胸科医院临时起搏器采购项目（二次）</w:t>
      </w:r>
      <w:r>
        <w:rPr>
          <w:rFonts w:hint="default" w:asciiTheme="minorEastAsia" w:hAnsiTheme="minorEastAsia" w:eastAsiaTheme="minorEastAsia" w:cstheme="minorEastAsia"/>
          <w:color w:val="333333"/>
          <w:sz w:val="24"/>
          <w:szCs w:val="24"/>
        </w:rPr>
        <w:t>。</w:t>
      </w:r>
    </w:p>
    <w:p w14:paraId="48DB67B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27865D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临时起搏器</w:t>
      </w:r>
      <w:r>
        <w:rPr>
          <w:rFonts w:hint="eastAsia" w:asciiTheme="minorEastAsia" w:hAnsiTheme="minorEastAsia" w:eastAsiaTheme="minorEastAsia" w:cstheme="minorEastAsia"/>
          <w:color w:val="333333"/>
          <w:sz w:val="24"/>
          <w:szCs w:val="24"/>
          <w:lang w:val="en-US" w:eastAsia="zh-CN"/>
        </w:rPr>
        <w:t>2</w:t>
      </w:r>
      <w:r>
        <w:rPr>
          <w:rFonts w:hint="default" w:asciiTheme="minorEastAsia" w:hAnsiTheme="minorEastAsia" w:eastAsiaTheme="minorEastAsia" w:cstheme="minorEastAsia"/>
          <w:color w:val="333333"/>
          <w:sz w:val="24"/>
          <w:szCs w:val="24"/>
        </w:rPr>
        <w:t>台。</w:t>
      </w:r>
    </w:p>
    <w:p w14:paraId="574017D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C68233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default" w:asciiTheme="minorEastAsia" w:hAnsiTheme="minorEastAsia" w:eastAsiaTheme="minorEastAsia" w:cstheme="minorEastAsia"/>
          <w:color w:val="333333"/>
          <w:sz w:val="24"/>
          <w:szCs w:val="24"/>
          <w:highlight w:val="none"/>
        </w:rPr>
        <w:t>1</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rPr>
        <w:t>万元。</w:t>
      </w:r>
    </w:p>
    <w:p w14:paraId="20813C6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5E507B2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19A9A2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64C3A8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7A966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E437D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2F132A0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480F45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A23F81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02FF464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5FE9A7F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2857536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6F67BC9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64C7436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95217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B9ADDA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4241080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05A1F5E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六、公开议价的时间及地点另行通知。</w:t>
      </w:r>
    </w:p>
    <w:p w14:paraId="030976D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七、发布公告的媒介</w:t>
      </w:r>
    </w:p>
    <w:p w14:paraId="4A1F1D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3027638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0D18D5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781C5FD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6D07D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5BAB5C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7A9E279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CE84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78DF7E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7B9BB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178761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69CAF8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9A04EE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115FC9D0">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72A9C6F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1.数量：2台，用于</w:t>
      </w:r>
      <w:r>
        <w:rPr>
          <w:rFonts w:hint="eastAsia" w:ascii="宋体" w:hAnsi="宋体" w:eastAsia="宋体" w:cs="宋体"/>
          <w:color w:val="000000" w:themeColor="text1"/>
          <w:kern w:val="2"/>
          <w:sz w:val="24"/>
          <w:szCs w:val="24"/>
          <w:lang w:val="en-US" w:eastAsia="zh-CN" w:bidi="ar"/>
          <w14:textFill>
            <w14:solidFill>
              <w14:schemeClr w14:val="tx1"/>
            </w14:solidFill>
          </w14:textFill>
        </w:rPr>
        <w:t>治疗、预防或诊断为目的需要短期需求心脏（同步）或异步起搏，可单腔或双腔临时起搏。</w:t>
      </w:r>
    </w:p>
    <w:p w14:paraId="1BC4246C">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2.单腔起搏模式：AAI，AOO，VVI和VOO</w:t>
      </w:r>
    </w:p>
    <w:p w14:paraId="3E854EA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3.双腔起搏模式：DDD，DDI，DOO</w:t>
      </w:r>
    </w:p>
    <w:p w14:paraId="578EA607">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4.无起搏疗法：OOO</w:t>
      </w:r>
    </w:p>
    <w:p w14:paraId="6035881B">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5.其他起搏模式：快速心房起搏（RAP）和紧急起搏</w:t>
      </w:r>
    </w:p>
    <w:p w14:paraId="2F7208E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6.起搏频率：30-200ppm</w:t>
      </w:r>
    </w:p>
    <w:p w14:paraId="3876A7DF">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7.高频起搏：80-800ppm</w:t>
      </w:r>
    </w:p>
    <w:p w14:paraId="6725248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8.输出波形：恒定电流-方波</w:t>
      </w:r>
    </w:p>
    <w:p w14:paraId="65FDF198">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9.输出幅度：心房：0.1-20mA; 心室：0.1-25mA</w:t>
      </w:r>
    </w:p>
    <w:p w14:paraId="53F3FF8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10.脉宽：心房：1.0ms; 心室：1.5ms</w:t>
      </w:r>
    </w:p>
    <w:p w14:paraId="0A949B9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11.AV延迟：20-300ms</w:t>
      </w:r>
    </w:p>
    <w:p w14:paraId="1CF42B4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12.灵敏度：心房：0.4-10mV, ASYNC; 心室：0.8-20mV, ASYNC</w:t>
      </w:r>
    </w:p>
    <w:p w14:paraId="71ACE95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13.不应期：心房：150-500ms</w:t>
      </w:r>
    </w:p>
    <w:p w14:paraId="09C44DD8">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14.电池：2-AA电池（1.5V）</w:t>
      </w:r>
    </w:p>
    <w:p w14:paraId="3782C418">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15.电池寿命：在频率为70次/分钟并且所有其它参数为正常值时，≥7天</w:t>
      </w:r>
    </w:p>
    <w:p w14:paraId="57453EF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16.屏幕显示：上下两个屏幕显示</w:t>
      </w:r>
    </w:p>
    <w:p w14:paraId="2FFF205D">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17.显示参数：心率、心房输出、心室输出、模式、电池状态</w:t>
      </w:r>
    </w:p>
    <w:p w14:paraId="160BA7CF">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18.指示灯：心房和心室起搏感知指示灯</w:t>
      </w:r>
    </w:p>
    <w:p w14:paraId="720B50DA">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19.自检功能：开机自检</w:t>
      </w:r>
    </w:p>
    <w:p w14:paraId="093B228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20.暂停键：暂停起搏和感知，以查看病人的内在节律</w:t>
      </w:r>
    </w:p>
    <w:p w14:paraId="76480E8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21.DOO/紧急键：按最大的心房和心室输出启动紧急双腔（DOO）起搏</w:t>
      </w:r>
    </w:p>
    <w:p w14:paraId="44844EB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22.安全性：电除颤保护、静电保护</w:t>
      </w:r>
    </w:p>
    <w:p w14:paraId="6EA5E36B">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23.电池取出后持续工作≥30s。</w:t>
      </w:r>
    </w:p>
    <w:p w14:paraId="6AA1C13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24.其他要求：具有起搏感知状态栏、锁屏、起搏暂停模式、心房追踪自动调整PVARP和AV间期、上限频率、LED背景灯、自动PVARP、时间违规/警告、自动调整、安全模式或更多</w:t>
      </w:r>
    </w:p>
    <w:p w14:paraId="109EF2AC">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p>
    <w:p w14:paraId="0278381C">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25.配置清单（每台）：</w:t>
      </w:r>
    </w:p>
    <w:p w14:paraId="28CB724B">
      <w:pPr>
        <w:pStyle w:val="158"/>
        <w:spacing w:line="240" w:lineRule="auto"/>
        <w:rPr>
          <w:rFonts w:hint="eastAsia" w:ascii="宋体" w:hAnsi="宋体" w:cs="宋体"/>
          <w:color w:val="000000" w:themeColor="text1"/>
          <w:sz w:val="24"/>
          <w:szCs w:val="24"/>
          <w:lang w:val="en-US" w:eastAsia="zh-CN"/>
          <w14:textFill>
            <w14:solidFill>
              <w14:schemeClr w14:val="tx1"/>
            </w14:solidFill>
          </w14:textFill>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2841"/>
        <w:gridCol w:w="1416"/>
      </w:tblGrid>
      <w:tr w14:paraId="7F5B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3" w:type="dxa"/>
            <w:vAlign w:val="center"/>
          </w:tcPr>
          <w:p w14:paraId="1F3D6DF3">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序号</w:t>
            </w:r>
          </w:p>
        </w:tc>
        <w:tc>
          <w:tcPr>
            <w:tcW w:w="2841" w:type="dxa"/>
            <w:vAlign w:val="center"/>
          </w:tcPr>
          <w:p w14:paraId="64F41214">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名称</w:t>
            </w:r>
          </w:p>
        </w:tc>
        <w:tc>
          <w:tcPr>
            <w:tcW w:w="1416" w:type="dxa"/>
            <w:vAlign w:val="center"/>
          </w:tcPr>
          <w:p w14:paraId="563B8395">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数量</w:t>
            </w:r>
          </w:p>
        </w:tc>
      </w:tr>
      <w:tr w14:paraId="7299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83" w:type="dxa"/>
            <w:vAlign w:val="center"/>
          </w:tcPr>
          <w:p w14:paraId="591FDEE2">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1</w:t>
            </w:r>
          </w:p>
        </w:tc>
        <w:tc>
          <w:tcPr>
            <w:tcW w:w="2841" w:type="dxa"/>
            <w:vAlign w:val="center"/>
          </w:tcPr>
          <w:p w14:paraId="1DCA4CD1">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主机</w:t>
            </w:r>
          </w:p>
        </w:tc>
        <w:tc>
          <w:tcPr>
            <w:tcW w:w="1416" w:type="dxa"/>
            <w:vAlign w:val="center"/>
          </w:tcPr>
          <w:p w14:paraId="71F4F980">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1台</w:t>
            </w:r>
          </w:p>
        </w:tc>
      </w:tr>
      <w:tr w14:paraId="4EB7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83" w:type="dxa"/>
            <w:vAlign w:val="center"/>
          </w:tcPr>
          <w:p w14:paraId="7A9DCDC9">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2</w:t>
            </w:r>
          </w:p>
        </w:tc>
        <w:tc>
          <w:tcPr>
            <w:tcW w:w="2841" w:type="dxa"/>
            <w:vAlign w:val="center"/>
          </w:tcPr>
          <w:p w14:paraId="3ED6513B">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起搏器导线</w:t>
            </w:r>
          </w:p>
        </w:tc>
        <w:tc>
          <w:tcPr>
            <w:tcW w:w="1416" w:type="dxa"/>
            <w:vAlign w:val="center"/>
          </w:tcPr>
          <w:p w14:paraId="2D8B3DDB">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1条</w:t>
            </w:r>
          </w:p>
        </w:tc>
      </w:tr>
    </w:tbl>
    <w:p w14:paraId="003415EE">
      <w:pPr>
        <w:pStyle w:val="158"/>
        <w:spacing w:line="240" w:lineRule="auto"/>
        <w:rPr>
          <w:rFonts w:hint="default" w:ascii="宋体" w:hAnsi="宋体" w:cs="宋体"/>
          <w:color w:val="000000" w:themeColor="text1"/>
          <w:sz w:val="24"/>
          <w:szCs w:val="24"/>
          <w:lang w:val="en-US" w:eastAsia="zh-CN"/>
          <w14:textFill>
            <w14:solidFill>
              <w14:schemeClr w14:val="tx1"/>
            </w14:solidFill>
          </w14:textFill>
        </w:rPr>
      </w:pPr>
    </w:p>
    <w:p w14:paraId="07CD7AC2">
      <w:pPr>
        <w:spacing w:line="360" w:lineRule="auto"/>
        <w:rPr>
          <w:rFonts w:hint="eastAsia" w:ascii="宋体" w:hAnsi="宋体"/>
          <w:b/>
          <w:bCs/>
          <w:color w:val="000000" w:themeColor="text1"/>
          <w:sz w:val="24"/>
          <w14:textFill>
            <w14:solidFill>
              <w14:schemeClr w14:val="tx1"/>
            </w14:solidFill>
          </w14:textFill>
        </w:rPr>
      </w:pPr>
    </w:p>
    <w:p w14:paraId="37ECF14A">
      <w:pPr>
        <w:spacing w:line="360" w:lineRule="auto"/>
        <w:rPr>
          <w:rFonts w:hint="eastAsia" w:ascii="宋体" w:hAnsi="宋体"/>
          <w:b/>
          <w:bCs/>
          <w:color w:val="000000" w:themeColor="text1"/>
          <w:sz w:val="24"/>
          <w14:textFill>
            <w14:solidFill>
              <w14:schemeClr w14:val="tx1"/>
            </w14:solidFill>
          </w14:textFill>
        </w:rPr>
      </w:pPr>
    </w:p>
    <w:p w14:paraId="41772AED">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745D407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726D8B23">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022881E4">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091BFC2E">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00012D90">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是</w:t>
      </w:r>
    </w:p>
    <w:p w14:paraId="4BE99B3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rPr>
        <w:t>≥3年</w:t>
      </w:r>
      <w:r>
        <w:rPr>
          <w:rFonts w:hint="eastAsia" w:ascii="宋体" w:hAnsi="宋体" w:cs="宋体"/>
          <w:color w:val="000000" w:themeColor="text1"/>
          <w:sz w:val="24"/>
          <w14:textFill>
            <w14:solidFill>
              <w14:schemeClr w14:val="tx1"/>
            </w14:solidFill>
          </w14:textFill>
        </w:rPr>
        <w:t>（供应商需明确具体年数）</w:t>
      </w:r>
    </w:p>
    <w:p w14:paraId="403F9AF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48E231A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28731B44">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7337A9AC">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货款于质保期满后，依据投标文件，所承诺的优惠条件、售后服务计划、培训计划等执行到位后，按规定程序办理支付手续，一次性付清。</w:t>
      </w:r>
    </w:p>
    <w:p w14:paraId="2C054E88">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902"/>
      <w:bookmarkStart w:id="7"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26111"/>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569"/>
      <w:bookmarkStart w:id="16" w:name="_Toc24403"/>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8953"/>
      <w:bookmarkStart w:id="23" w:name="_Toc3266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554757"/>
      <w:bookmarkStart w:id="38" w:name="_Toc337475887"/>
      <w:bookmarkStart w:id="39" w:name="_Toc320878673"/>
      <w:bookmarkStart w:id="40" w:name="_Toc304219290"/>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3BE23111">
      <w:pPr>
        <w:pStyle w:val="29"/>
        <w:rPr>
          <w:rFonts w:hint="eastAsia"/>
        </w:rPr>
      </w:pPr>
    </w:p>
    <w:p w14:paraId="7C75A853">
      <w:pPr>
        <w:rPr>
          <w:rFonts w:hint="eastAsia"/>
        </w:rPr>
      </w:pPr>
    </w:p>
    <w:p w14:paraId="387CE8AC">
      <w:pPr>
        <w:pStyle w:val="29"/>
        <w:rPr>
          <w:rFonts w:hint="eastAsia"/>
        </w:rPr>
      </w:pPr>
    </w:p>
    <w:p w14:paraId="6B872ED7">
      <w:pPr>
        <w:rPr>
          <w:rFonts w:hint="eastAsia"/>
        </w:rPr>
      </w:pPr>
    </w:p>
    <w:p w14:paraId="16E19B26">
      <w:pPr>
        <w:pStyle w:val="29"/>
        <w:rPr>
          <w:rFonts w:hint="eastAsia"/>
        </w:rPr>
      </w:pPr>
    </w:p>
    <w:p w14:paraId="6AA0398E">
      <w:pPr>
        <w:rPr>
          <w:rFonts w:hint="eastAsia"/>
        </w:rPr>
      </w:pPr>
    </w:p>
    <w:p w14:paraId="7BFA5299">
      <w:pPr>
        <w:pStyle w:val="29"/>
        <w:rPr>
          <w:rFonts w:hint="eastAsia"/>
        </w:rPr>
      </w:pPr>
    </w:p>
    <w:p w14:paraId="1AB14EF5">
      <w:pPr>
        <w:rPr>
          <w:rFonts w:hint="eastAsia"/>
        </w:rPr>
      </w:pPr>
    </w:p>
    <w:p w14:paraId="5009ACF6">
      <w:pPr>
        <w:pStyle w:val="29"/>
        <w:rPr>
          <w:rFonts w:hint="eastAsia"/>
        </w:rPr>
      </w:pPr>
    </w:p>
    <w:p w14:paraId="5D7FF4CA">
      <w:pPr>
        <w:rPr>
          <w:rFonts w:hint="eastAsia"/>
        </w:rPr>
      </w:pPr>
    </w:p>
    <w:p w14:paraId="31D8C8B3">
      <w:pPr>
        <w:pStyle w:val="29"/>
        <w:rPr>
          <w:rFonts w:hint="eastAsia"/>
        </w:rPr>
      </w:pPr>
    </w:p>
    <w:p w14:paraId="28E13829">
      <w:pPr>
        <w:rPr>
          <w:rFonts w:hint="eastAsia"/>
        </w:rPr>
      </w:pPr>
    </w:p>
    <w:p w14:paraId="4ADF7C65">
      <w:pPr>
        <w:pStyle w:val="29"/>
        <w:rPr>
          <w:rFonts w:hint="eastAsia"/>
        </w:rPr>
      </w:pPr>
    </w:p>
    <w:p w14:paraId="7CF9FA9C">
      <w:pPr>
        <w:rPr>
          <w:rFonts w:hint="eastAsia"/>
        </w:rPr>
      </w:pPr>
    </w:p>
    <w:p w14:paraId="58DF44A7">
      <w:pPr>
        <w:pStyle w:val="29"/>
        <w:rPr>
          <w:rFonts w:hint="eastAsia"/>
        </w:rPr>
      </w:pPr>
    </w:p>
    <w:p w14:paraId="4C26B79B">
      <w:pPr>
        <w:rPr>
          <w:rFonts w:hint="eastAsia"/>
        </w:rPr>
      </w:pPr>
    </w:p>
    <w:p w14:paraId="78D5114F">
      <w:pPr>
        <w:pStyle w:val="29"/>
        <w:rPr>
          <w:rFonts w:hint="eastAsia"/>
        </w:rPr>
      </w:pPr>
    </w:p>
    <w:p w14:paraId="6532BDC6">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304219331"/>
      <w:bookmarkStart w:id="52" w:name="_Toc30765"/>
      <w:bookmarkStart w:id="53" w:name="_Toc337554798"/>
      <w:bookmarkStart w:id="54" w:name="_Toc29526"/>
      <w:bookmarkStart w:id="55" w:name="_Toc12801"/>
      <w:bookmarkStart w:id="56" w:name="_Toc320878714"/>
      <w:bookmarkStart w:id="57" w:name="_Toc28583"/>
      <w:bookmarkStart w:id="58" w:name="_Toc15867"/>
      <w:bookmarkStart w:id="59" w:name="_Toc337475928"/>
      <w:bookmarkStart w:id="60" w:name="_Toc4599"/>
      <w:bookmarkStart w:id="61" w:name="_Toc349642319"/>
      <w:bookmarkStart w:id="62" w:name="_Toc10750"/>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1984</Words>
  <Characters>2314</Characters>
  <Lines>315</Lines>
  <Paragraphs>88</Paragraphs>
  <TotalTime>1</TotalTime>
  <ScaleCrop>false</ScaleCrop>
  <LinksUpToDate>false</LinksUpToDate>
  <CharactersWithSpaces>2384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2025-11-07T07:09:48Z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8E759D5CA1424E9982A48AA27E892BDC_13</vt:lpwstr>
  </property>
  <property fmtid="{D5CDD505-2E9C-101B-9397-08002B2CF9AE}" pid="4" name="KSOTemplateDocerSaveRecord">
    <vt:lpwstr>eyJoZGlkIjoiMTUyMDA2ZjQ4N2YyNDAzZWJjY2U2NWNkZDY5ZDY4ZDAiLCJ1c2VySWQiOiIxNTkzMTM1MzcxIn0=</vt:lpwstr>
  </property>
</Properties>
</file>