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5B7C33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16EFDC7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"/>
        </w:rPr>
        <w:t>医疗机构未被污染的输液空瓶（袋）须有商务部门认定有资质的单位回收，回收单位应具有市场监管部门颁发的《营业执照》和商务部门颁发的《再生资源回收经营者登记备案证明》。</w:t>
      </w:r>
      <w:bookmarkStart w:id="0" w:name="_GoBack"/>
      <w:bookmarkEnd w:id="0"/>
    </w:p>
    <w:p w14:paraId="3F53EEB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</w:pP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25E0A77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860</Words>
  <Characters>1061</Characters>
  <Lines>0</Lines>
  <Paragraphs>0</Paragraphs>
  <TotalTime>0</TotalTime>
  <ScaleCrop>false</ScaleCrop>
  <LinksUpToDate>false</LinksUpToDate>
  <CharactersWithSpaces>1066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2026-01-09T00:20:15Z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