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步行训练器采购项目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022</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3</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7C928B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Fonts w:hint="eastAsia" w:eastAsiaTheme="minorEastAsia"/>
          <w:highlight w:val="none"/>
          <w:lang w:eastAsia="zh-CN"/>
        </w:rPr>
        <w:t>河南省胸科医院步行训练器采购项目</w:t>
      </w:r>
      <w:r>
        <w:rPr>
          <w:rFonts w:hint="eastAsia" w:asciiTheme="minorEastAsia" w:hAnsiTheme="minorEastAsia" w:eastAsiaTheme="minorEastAsia" w:cstheme="minorEastAsia"/>
          <w:color w:val="333333"/>
          <w:sz w:val="24"/>
          <w:szCs w:val="24"/>
        </w:rPr>
        <w:t xml:space="preserve"> </w:t>
      </w:r>
    </w:p>
    <w:p w14:paraId="4C9E92D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公开议价公告</w:t>
      </w:r>
    </w:p>
    <w:p w14:paraId="2EF88A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39CF34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河南省胸科医院步行训练器采购项目</w:t>
      </w:r>
      <w:r>
        <w:rPr>
          <w:rFonts w:hint="default" w:asciiTheme="minorEastAsia" w:hAnsiTheme="minorEastAsia" w:eastAsiaTheme="minorEastAsia" w:cstheme="minorEastAsia"/>
          <w:color w:val="333333"/>
          <w:sz w:val="24"/>
          <w:szCs w:val="24"/>
        </w:rPr>
        <w:t>。</w:t>
      </w:r>
    </w:p>
    <w:p w14:paraId="61E9DC9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44116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步行训练器</w:t>
      </w:r>
      <w:r>
        <w:rPr>
          <w:rFonts w:hint="default" w:asciiTheme="minorEastAsia" w:hAnsiTheme="minorEastAsia" w:eastAsiaTheme="minorEastAsia" w:cstheme="minorEastAsia"/>
          <w:color w:val="333333"/>
          <w:sz w:val="24"/>
          <w:szCs w:val="24"/>
        </w:rPr>
        <w:t>1台。</w:t>
      </w:r>
    </w:p>
    <w:p w14:paraId="4723AB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三、</w:t>
      </w:r>
      <w:r>
        <w:rPr>
          <w:rFonts w:hint="default" w:asciiTheme="minorEastAsia" w:hAnsiTheme="minorEastAsia" w:eastAsiaTheme="minorEastAsia" w:cstheme="minorEastAsia"/>
          <w:color w:val="333333"/>
          <w:sz w:val="24"/>
          <w:szCs w:val="24"/>
          <w:highlight w:val="none"/>
        </w:rPr>
        <w:t>项目预算：</w:t>
      </w:r>
    </w:p>
    <w:p w14:paraId="58B9120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07C76B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C4E35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D8F394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60CDD45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D70BD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0E037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D10BF3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0442C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C56A8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1F19E42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B595A5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47774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5E8DD2D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3CEC79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3487EB7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9F5E5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17748C1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3F0ABB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18C8E5C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1FB3C6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B21113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0EB1C4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3F60FE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A3F12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0176767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719180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5D9535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A6C4C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0D7D47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B0198C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696A0B47">
      <w:pPr>
        <w:numPr>
          <w:ilvl w:val="0"/>
          <w:numId w:val="2"/>
        </w:numPr>
        <w:spacing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1774BBFF">
      <w:pPr>
        <w:pStyle w:val="69"/>
        <w:numPr>
          <w:ilvl w:val="0"/>
          <w:numId w:val="0"/>
        </w:numPr>
        <w:spacing w:line="360" w:lineRule="auto"/>
        <w:ind w:firstLine="720" w:firstLineChars="300"/>
        <w:rPr>
          <w:rFonts w:hint="default" w:ascii="宋体" w:hAnsi="宋体"/>
          <w:sz w:val="24"/>
          <w:lang w:val="en-US" w:eastAsia="zh-CN"/>
        </w:rPr>
      </w:pPr>
      <w:r>
        <w:rPr>
          <w:rFonts w:hint="eastAsia" w:ascii="宋体" w:hAnsi="宋体"/>
          <w:sz w:val="24"/>
          <w:lang w:val="en-US" w:eastAsia="zh-CN"/>
        </w:rPr>
        <w:t>1、数量：1台</w:t>
      </w:r>
    </w:p>
    <w:p w14:paraId="72898BF3">
      <w:pPr>
        <w:pStyle w:val="69"/>
        <w:numPr>
          <w:ilvl w:val="0"/>
          <w:numId w:val="0"/>
        </w:numPr>
        <w:autoSpaceDE w:val="0"/>
        <w:autoSpaceDN w:val="0"/>
        <w:spacing w:line="360" w:lineRule="auto"/>
        <w:ind w:left="420" w:leftChars="0" w:firstLine="240" w:firstLineChars="100"/>
        <w:jc w:val="left"/>
        <w:rPr>
          <w:rFonts w:hint="eastAsia" w:ascii="宋体" w:hAnsi="宋体" w:cs="等线"/>
          <w:sz w:val="24"/>
        </w:rPr>
      </w:pPr>
      <w:r>
        <w:rPr>
          <w:rFonts w:hint="eastAsia" w:ascii="宋体" w:hAnsi="宋体"/>
          <w:sz w:val="24"/>
          <w:lang w:val="en-US" w:eastAsia="zh-CN"/>
        </w:rPr>
        <w:t>2、</w:t>
      </w:r>
      <w:r>
        <w:rPr>
          <w:rFonts w:hint="eastAsia" w:ascii="宋体" w:hAnsi="宋体" w:cs="等线"/>
          <w:sz w:val="24"/>
        </w:rPr>
        <w:t>用于</w:t>
      </w:r>
      <w:r>
        <w:rPr>
          <w:rFonts w:hint="eastAsia" w:ascii="宋体" w:hAnsi="宋体" w:cs="等线"/>
          <w:sz w:val="24"/>
          <w:lang w:val="en-US" w:eastAsia="zh-CN"/>
        </w:rPr>
        <w:t>下肢及躯干肌力弱的患者步行训练</w:t>
      </w:r>
      <w:r>
        <w:rPr>
          <w:rFonts w:hint="eastAsia" w:ascii="宋体" w:hAnsi="宋体" w:cs="等线"/>
          <w:sz w:val="24"/>
        </w:rPr>
        <w:t>。</w:t>
      </w:r>
    </w:p>
    <w:p w14:paraId="3F6485FD">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3、可以矫正患者行走时的生物力线。</w:t>
      </w:r>
    </w:p>
    <w:p w14:paraId="4E549930">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4、胸部支撑、骨盆支撑可单独调节高度及宽度。</w:t>
      </w:r>
    </w:p>
    <w:p w14:paraId="1C30BC1A">
      <w:pPr>
        <w:pStyle w:val="69"/>
        <w:numPr>
          <w:ilvl w:val="0"/>
          <w:numId w:val="0"/>
        </w:numPr>
        <w:autoSpaceDE w:val="0"/>
        <w:autoSpaceDN w:val="0"/>
        <w:spacing w:line="360" w:lineRule="auto"/>
        <w:ind w:left="659" w:leftChars="314" w:firstLine="0" w:firstLineChars="0"/>
        <w:jc w:val="left"/>
        <w:rPr>
          <w:rFonts w:hint="eastAsia" w:ascii="宋体" w:hAnsi="宋体" w:cs="等线"/>
          <w:sz w:val="24"/>
          <w:lang w:val="en-US" w:eastAsia="zh-CN"/>
        </w:rPr>
      </w:pPr>
      <w:r>
        <w:rPr>
          <w:rFonts w:hint="eastAsia" w:ascii="宋体" w:hAnsi="宋体" w:cs="等线"/>
          <w:sz w:val="24"/>
          <w:lang w:val="en-US" w:eastAsia="zh-CN"/>
        </w:rPr>
        <w:t>5、胸部支撑可根据患者的功能情况，调节前倾/后仰角度，矫正患者姿势。6、前轮可定向，后轮有刹车、防后转、阻力可调节；阻力可单侧调节，也可双侧同时调节。</w:t>
      </w:r>
    </w:p>
    <w:p w14:paraId="2503B2E0">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7、配有分腿器，可有效控制步态，防止剪刀步，控制步长等。</w:t>
      </w:r>
    </w:p>
    <w:p w14:paraId="69634368">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8、高度调节有刻度标识。</w:t>
      </w:r>
    </w:p>
    <w:p w14:paraId="23CE45B3">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9、适用身高：160-190CM。</w:t>
      </w:r>
    </w:p>
    <w:p w14:paraId="1522FFC0">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10、胸部支撑和骨盆支撑圆周调节范围：90-140 CM。</w:t>
      </w:r>
    </w:p>
    <w:p w14:paraId="03A3F519">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11、最大负重：≥100KG。</w:t>
      </w:r>
    </w:p>
    <w:p w14:paraId="25BF5407">
      <w:pPr>
        <w:spacing w:line="360" w:lineRule="auto"/>
        <w:rPr>
          <w:rFonts w:hint="eastAsia" w:ascii="宋体" w:hAnsi="宋体" w:cs="宋体"/>
          <w:sz w:val="24"/>
        </w:rPr>
      </w:pPr>
      <w:r>
        <w:rPr>
          <w:rFonts w:hint="eastAsia" w:ascii="宋体" w:hAnsi="宋体"/>
          <w:b/>
          <w:bCs/>
          <w:sz w:val="24"/>
        </w:rPr>
        <w:t>二、商务要求</w:t>
      </w:r>
    </w:p>
    <w:p w14:paraId="5D6D0D9B">
      <w:pPr>
        <w:pStyle w:val="69"/>
        <w:numPr>
          <w:ilvl w:val="0"/>
          <w:numId w:val="0"/>
        </w:numPr>
        <w:autoSpaceDE w:val="0"/>
        <w:autoSpaceDN w:val="0"/>
        <w:spacing w:line="360" w:lineRule="auto"/>
        <w:ind w:left="420" w:leftChars="0"/>
        <w:jc w:val="left"/>
        <w:rPr>
          <w:rFonts w:hint="eastAsia" w:ascii="宋体" w:hAnsi="宋体" w:cs="等线" w:eastAsiaTheme="minorEastAsia"/>
          <w:sz w:val="24"/>
          <w:lang w:val="en-US" w:eastAsia="zh-CN"/>
        </w:rPr>
      </w:pPr>
      <w:r>
        <w:rPr>
          <w:rFonts w:hint="eastAsia" w:ascii="宋体" w:hAnsi="宋体" w:cs="等线"/>
          <w:sz w:val="24"/>
        </w:rPr>
        <w:t>1.特定资格要求：</w:t>
      </w:r>
      <w:r>
        <w:rPr>
          <w:rFonts w:hint="eastAsia" w:ascii="宋体" w:hAnsi="宋体" w:cs="等线"/>
          <w:sz w:val="24"/>
          <w:lang w:val="en-US" w:eastAsia="zh-CN"/>
        </w:rPr>
        <w:t>无</w:t>
      </w:r>
    </w:p>
    <w:p w14:paraId="64FCC003">
      <w:pPr>
        <w:pStyle w:val="69"/>
        <w:numPr>
          <w:ilvl w:val="0"/>
          <w:numId w:val="0"/>
        </w:numPr>
        <w:autoSpaceDE w:val="0"/>
        <w:autoSpaceDN w:val="0"/>
        <w:spacing w:line="360" w:lineRule="auto"/>
        <w:ind w:left="420" w:leftChars="0"/>
        <w:jc w:val="left"/>
        <w:rPr>
          <w:rFonts w:hint="eastAsia" w:ascii="宋体" w:hAnsi="宋体" w:cs="等线"/>
          <w:sz w:val="24"/>
        </w:rPr>
      </w:pPr>
      <w:bookmarkStart w:id="68" w:name="_GoBack"/>
      <w:bookmarkEnd w:id="68"/>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30451C5B">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6DC2037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42E16B59">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4E828D65">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01EE557F">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79C509EB">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1E08F6C1">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5108EA12">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6C111E98">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595467CE">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4EE9EE01">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32EBB082">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7" w:name="_Toc902"/>
      <w:bookmarkStart w:id="8"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3" w:name="_Toc4559"/>
      <w:bookmarkStart w:id="14" w:name="_Toc11890"/>
      <w:bookmarkStart w:id="15"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6" w:name="_Toc24403"/>
      <w:bookmarkStart w:id="17" w:name="_Toc19319"/>
      <w:bookmarkStart w:id="18"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9" w:name="_Toc1972"/>
      <w:bookmarkStart w:id="20" w:name="_Toc10542"/>
    </w:p>
    <w:p w14:paraId="00D5E89F">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2" w:name="_Toc31728"/>
      <w:bookmarkStart w:id="23" w:name="_Toc32668"/>
      <w:bookmarkStart w:id="24" w:name="_Toc8953"/>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5E0F17FF">
      <w:pPr>
        <w:pStyle w:val="4"/>
        <w:spacing w:before="0" w:after="0"/>
        <w:jc w:val="center"/>
        <w:rPr>
          <w:rFonts w:hint="default"/>
          <w:color w:val="auto"/>
          <w:sz w:val="28"/>
          <w:szCs w:val="36"/>
          <w:highlight w:val="none"/>
          <w:lang w:val="en-US" w:eastAsia="zh-CN"/>
        </w:rPr>
      </w:pPr>
      <w:bookmarkStart w:id="28" w:name="_Toc28259"/>
      <w:bookmarkStart w:id="29" w:name="_Toc24684"/>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3"/>
    <w:p w14:paraId="1A578696">
      <w:pPr>
        <w:bidi w:val="0"/>
        <w:rPr>
          <w:rFonts w:hint="eastAsia"/>
          <w:lang w:eastAsia="zh-CN"/>
        </w:rPr>
      </w:pPr>
      <w:bookmarkStart w:id="34"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6" w:name="_Toc29119"/>
      <w:r>
        <w:rPr>
          <w:rFonts w:hint="eastAsia"/>
          <w:color w:val="auto"/>
          <w:sz w:val="28"/>
          <w:highlight w:val="none"/>
        </w:rPr>
        <w:t>第二部分商务、技术文件</w:t>
      </w:r>
      <w:bookmarkEnd w:id="36"/>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8" w:name="_Toc304219290"/>
      <w:bookmarkStart w:id="39" w:name="_Toc337554757"/>
      <w:bookmarkStart w:id="40" w:name="_Toc320878673"/>
      <w:bookmarkStart w:id="41" w:name="_Toc337475887"/>
      <w:bookmarkStart w:id="42"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3" w:name="_Toc21266"/>
      <w:bookmarkStart w:id="44"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6" w:name="_Toc11982"/>
      <w:bookmarkStart w:id="47"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8" w:name="_Toc23816"/>
      <w:bookmarkStart w:id="49"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0" w:name="_Toc2922"/>
      <w:bookmarkStart w:id="51" w:name="_Toc4948"/>
      <w:bookmarkStart w:id="52" w:name="_Toc337475928"/>
      <w:bookmarkStart w:id="53" w:name="_Toc349642319"/>
      <w:bookmarkStart w:id="54" w:name="_Toc30765"/>
      <w:bookmarkStart w:id="55" w:name="_Toc337554798"/>
      <w:bookmarkStart w:id="56" w:name="_Toc15867"/>
      <w:bookmarkStart w:id="57" w:name="_Toc29526"/>
      <w:bookmarkStart w:id="58" w:name="_Toc12801"/>
      <w:bookmarkStart w:id="59" w:name="_Toc320878714"/>
      <w:bookmarkStart w:id="60" w:name="_Toc304219331"/>
      <w:bookmarkStart w:id="61" w:name="_Toc10750"/>
      <w:bookmarkStart w:id="62" w:name="_Toc28583"/>
      <w:bookmarkStart w:id="63" w:name="_Toc4599"/>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4" w:name="_Toc7716"/>
      <w:bookmarkStart w:id="65" w:name="_Toc8810"/>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7593"/>
      <w:bookmarkStart w:id="67" w:name="_Toc11154"/>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2FE7D2C"/>
    <w:rsid w:val="034C27A7"/>
    <w:rsid w:val="03AD3D20"/>
    <w:rsid w:val="03EA337C"/>
    <w:rsid w:val="04437611"/>
    <w:rsid w:val="04744CA2"/>
    <w:rsid w:val="04B0714F"/>
    <w:rsid w:val="04BE595E"/>
    <w:rsid w:val="04C4105D"/>
    <w:rsid w:val="04E61CBE"/>
    <w:rsid w:val="054779D0"/>
    <w:rsid w:val="05680A5D"/>
    <w:rsid w:val="05932A9E"/>
    <w:rsid w:val="05CB5D97"/>
    <w:rsid w:val="05D267EE"/>
    <w:rsid w:val="05D35F89"/>
    <w:rsid w:val="05EA790D"/>
    <w:rsid w:val="0704184F"/>
    <w:rsid w:val="07305EA5"/>
    <w:rsid w:val="077B4DAE"/>
    <w:rsid w:val="07CF4771"/>
    <w:rsid w:val="08265D45"/>
    <w:rsid w:val="08351931"/>
    <w:rsid w:val="08B407EF"/>
    <w:rsid w:val="08E26F7C"/>
    <w:rsid w:val="093800B7"/>
    <w:rsid w:val="0A0D0E47"/>
    <w:rsid w:val="0A110DF5"/>
    <w:rsid w:val="0A3960E0"/>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03535"/>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52E4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1063E6"/>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C1203B"/>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A25591"/>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7949F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171498D"/>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5811</Words>
  <Characters>6039</Characters>
  <Lines>315</Lines>
  <Paragraphs>88</Paragraphs>
  <TotalTime>0</TotalTime>
  <ScaleCrop>false</ScaleCrop>
  <LinksUpToDate>false</LinksUpToDate>
  <CharactersWithSpaces>6919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2026-03-09T07:13:48Z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9CA9FA9F06C0477FA8CE42F0E009EF0F_13</vt:lpwstr>
  </property>
  <property fmtid="{D5CDD505-2E9C-101B-9397-08002B2CF9AE}" pid="4" name="KSOTemplateDocerSaveRecord">
    <vt:lpwstr>eyJoZGlkIjoiMDMxYzc3MGIxYzU2OTljNjVjNTFmNTA1NzBkMDlhODAiLCJ1c2VySWQiOiIxNTkzMTM1MzczIn0=</vt:lpwstr>
  </property>
</Properties>
</file>