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0F6B9F1C">
      <w:pPr>
        <w:pStyle w:val="6"/>
        <w:keepNext w:val="0"/>
        <w:keepLines w:val="0"/>
        <w:widowControl/>
        <w:suppressLineNumbers w:val="0"/>
        <w:spacing w:before="0" w:beforeAutospacing="0" w:after="0" w:afterAutospacing="0"/>
        <w:ind w:left="0" w:right="0"/>
        <w:jc w:val="center"/>
        <w:rPr>
          <w:rFonts w:hint="eastAsia" w:eastAsiaTheme="minorEastAsia"/>
          <w:highlight w:val="none"/>
          <w:lang w:eastAsia="zh-CN"/>
        </w:rPr>
      </w:pPr>
      <w:r>
        <w:rPr>
          <w:rFonts w:hint="eastAsia" w:eastAsiaTheme="minorEastAsia"/>
          <w:highlight w:val="none"/>
          <w:lang w:eastAsia="zh-CN"/>
        </w:rPr>
        <w:t>河南省胸科医院购买科研技术服务项目</w:t>
      </w:r>
      <w:r>
        <w:rPr>
          <w:rFonts w:hint="eastAsia"/>
          <w:highlight w:val="none"/>
          <w:lang w:eastAsia="zh-CN"/>
        </w:rPr>
        <w:t>（</w:t>
      </w:r>
      <w:r>
        <w:rPr>
          <w:rFonts w:hint="eastAsia"/>
          <w:highlight w:val="none"/>
          <w:lang w:val="en-US" w:eastAsia="zh-CN"/>
        </w:rPr>
        <w:t>二次</w:t>
      </w:r>
      <w:r>
        <w:rPr>
          <w:rFonts w:hint="eastAsia"/>
          <w:highlight w:val="none"/>
          <w:lang w:eastAsia="zh-CN"/>
        </w:rPr>
        <w:t>）</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024</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03</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75D4128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河南省胸科医院购买科研技术服务</w:t>
      </w:r>
      <w:bookmarkStart w:id="61" w:name="_GoBack"/>
      <w:bookmarkEnd w:id="61"/>
      <w:r>
        <w:rPr>
          <w:rFonts w:hint="eastAsia" w:ascii="宋体" w:hAnsi="宋体" w:eastAsiaTheme="minorEastAsia" w:cstheme="minorBidi"/>
          <w:b/>
          <w:kern w:val="2"/>
          <w:sz w:val="28"/>
          <w:szCs w:val="28"/>
          <w:lang w:val="en-US" w:eastAsia="zh-CN" w:bidi="ar-SA"/>
        </w:rPr>
        <w:t>项目（二次）</w:t>
      </w:r>
    </w:p>
    <w:p w14:paraId="7DF2AB0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 xml:space="preserve"> 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河南省胸科医院购买科研技术服务项目（二次）</w:t>
      </w:r>
      <w:r>
        <w:rPr>
          <w:rFonts w:hint="default" w:asciiTheme="minorEastAsia" w:hAnsiTheme="minorEastAsia" w:eastAsiaTheme="minorEastAsia" w:cstheme="minorEastAsia"/>
          <w:color w:val="333333"/>
          <w:sz w:val="24"/>
          <w:szCs w:val="24"/>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河南省胸科医院购买科研技术服务</w:t>
      </w:r>
      <w:r>
        <w:rPr>
          <w:rFonts w:hint="default" w:asciiTheme="minorEastAsia" w:hAnsiTheme="minorEastAsia" w:eastAsiaTheme="minorEastAsia" w:cstheme="minorEastAsia"/>
          <w:color w:val="333333"/>
          <w:sz w:val="24"/>
          <w:szCs w:val="24"/>
        </w:rPr>
        <w:t>。</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219000</w:t>
      </w:r>
      <w:r>
        <w:rPr>
          <w:rFonts w:hint="default" w:asciiTheme="minorEastAsia" w:hAnsiTheme="minorEastAsia" w:eastAsiaTheme="minorEastAsia" w:cstheme="minorEastAsia"/>
          <w:color w:val="333333"/>
          <w:sz w:val="24"/>
          <w:szCs w:val="24"/>
          <w:highlight w:val="none"/>
        </w:rPr>
        <w:t>元</w:t>
      </w:r>
      <w:r>
        <w:rPr>
          <w:rFonts w:hint="default" w:asciiTheme="minorEastAsia" w:hAnsiTheme="minorEastAsia" w:eastAsiaTheme="minorEastAsia" w:cstheme="minorEastAsia"/>
          <w:color w:val="333333"/>
          <w:sz w:val="24"/>
          <w:szCs w:val="24"/>
        </w:rPr>
        <w:t>。</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E4B88D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70F92A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112EE69F">
      <w:pPr>
        <w:pStyle w:val="2"/>
        <w:ind w:left="0" w:leftChars="0" w:firstLine="0" w:firstLineChars="0"/>
        <w:rPr>
          <w:rFonts w:hint="eastAsia" w:asciiTheme="minorEastAsia" w:hAnsiTheme="minorEastAsia" w:eastAsiaTheme="minorEastAsia" w:cstheme="minorEastAsia"/>
          <w:b/>
          <w:bCs/>
          <w:color w:val="auto"/>
          <w:kern w:val="2"/>
          <w:sz w:val="24"/>
          <w:szCs w:val="24"/>
          <w:lang w:val="en-US" w:eastAsia="zh-CN" w:bidi="ar-SA"/>
        </w:rPr>
      </w:pPr>
      <w:bookmarkStart w:id="1" w:name="_Toc155249524"/>
      <w:bookmarkStart w:id="2" w:name="_Toc169314184"/>
      <w:bookmarkStart w:id="3" w:name="_Toc155249520"/>
      <w:bookmarkStart w:id="4" w:name="_Toc29773"/>
      <w:bookmarkStart w:id="5" w:name="_Toc476420856"/>
      <w:bookmarkStart w:id="6" w:name="_Toc63697600"/>
      <w:bookmarkStart w:id="7" w:name="_Toc533344015"/>
      <w:bookmarkStart w:id="8" w:name="_Toc476419059"/>
      <w:r>
        <w:rPr>
          <w:rFonts w:hint="eastAsia" w:asciiTheme="minorEastAsia" w:hAnsiTheme="minorEastAsia" w:eastAsiaTheme="minorEastAsia" w:cstheme="minorEastAsia"/>
          <w:b/>
          <w:bCs/>
          <w:color w:val="auto"/>
          <w:sz w:val="24"/>
          <w:szCs w:val="24"/>
          <w:lang w:eastAsia="zh-CN"/>
        </w:rPr>
        <w:t>一、</w:t>
      </w:r>
      <w:r>
        <w:rPr>
          <w:rFonts w:hint="eastAsia" w:asciiTheme="minorEastAsia" w:hAnsiTheme="minorEastAsia" w:eastAsiaTheme="minorEastAsia" w:cstheme="minorEastAsia"/>
          <w:b/>
          <w:bCs/>
          <w:color w:val="auto"/>
          <w:kern w:val="2"/>
          <w:sz w:val="24"/>
          <w:szCs w:val="24"/>
          <w:lang w:val="en-US" w:eastAsia="zh-CN" w:bidi="ar-SA"/>
        </w:rPr>
        <w:t>技术要求：</w:t>
      </w:r>
    </w:p>
    <w:p w14:paraId="620909F0">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1、我院项目组自行采集180例CAVD患者粪便样品后送检，公司对样品进行16Sr RNA基因扩增子测序与分析，每例400元；</w:t>
      </w:r>
    </w:p>
    <w:p w14:paraId="64DEB7E8">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2、我院项目组自行采集180例CAVD患者血清样品后送检，公司对样品进行超高效液相色谱质谱(UPLC-MS)检测与分析，每例450元；</w:t>
      </w:r>
    </w:p>
    <w:p w14:paraId="3B6F7A60">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3、我院项目组自行采集6例CAVD患者全血样品后送检，公司对样品进行单细胞转录组测序及分析，每例11000元；</w:t>
      </w:r>
    </w:p>
    <w:p w14:paraId="5A051A16">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4、结合临床数据，完成上述多组学结果的关联分析；</w:t>
      </w:r>
    </w:p>
    <w:p w14:paraId="6A28D117">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5、公司需完成我院项目组所要求的其他个性化生物信息学分析内容，能做到测序+标准分析、个性化分析、辅助到文章发表之前的所有分析、投稿后根据审稿意见辅助分析，直到文章发表。</w:t>
      </w:r>
    </w:p>
    <w:p w14:paraId="3697369B">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6、数据储存：在检测过程中，将产生大量的原始数据，所有原始数据交付我院项目负责人后由公司免费保存半年；</w:t>
      </w:r>
    </w:p>
    <w:p w14:paraId="55E7858A">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7、样品保存和运输:测序完成后，若有剩余的样品，公司免费负责保存三个月；</w:t>
      </w:r>
    </w:p>
    <w:p w14:paraId="1F63E7FA">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8、DNA抽取和扩增结果需经我院项目组验证合格；</w:t>
      </w:r>
    </w:p>
    <w:p w14:paraId="59D6563C">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9、企业与医院联合发表10分以上文章的经验（提供合作发表文章信息，文章作者有公司员工及单位）；</w:t>
      </w:r>
    </w:p>
    <w:p w14:paraId="6EDBB240">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10、公司（或关联母公司）有参与国家重大专项（提供重大专项名称）；</w:t>
      </w:r>
    </w:p>
    <w:p w14:paraId="6B377656">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11、公司有国内知名医院合作经验；</w:t>
      </w:r>
    </w:p>
    <w:p w14:paraId="5BFBBB9D">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12、企业能辅助完成后期成果转化，比如药物开发、临床检测新方法开发、医疗设备开发等实力。</w:t>
      </w:r>
    </w:p>
    <w:bookmarkEnd w:id="1"/>
    <w:bookmarkEnd w:id="2"/>
    <w:bookmarkEnd w:id="3"/>
    <w:bookmarkEnd w:id="4"/>
    <w:bookmarkEnd w:id="5"/>
    <w:bookmarkEnd w:id="6"/>
    <w:bookmarkEnd w:id="7"/>
    <w:bookmarkEnd w:id="8"/>
    <w:p w14:paraId="3B421162">
      <w:pPr>
        <w:numPr>
          <w:ilvl w:val="0"/>
          <w:numId w:val="2"/>
        </w:numPr>
        <w:spacing w:line="360" w:lineRule="auto"/>
        <w:rPr>
          <w:rFonts w:hint="eastAsia" w:ascii="宋体" w:hAnsi="宋体" w:eastAsia="宋体"/>
          <w:b/>
          <w:bCs/>
          <w:color w:val="auto"/>
          <w:sz w:val="24"/>
          <w:lang w:eastAsia="zh-CN"/>
        </w:rPr>
      </w:pPr>
      <w:r>
        <w:rPr>
          <w:rFonts w:hint="eastAsia" w:ascii="宋体" w:hAnsi="宋体"/>
          <w:b/>
          <w:bCs/>
          <w:color w:val="auto"/>
          <w:sz w:val="24"/>
          <w:lang w:eastAsia="zh-CN"/>
        </w:rPr>
        <w:t>商务要求</w:t>
      </w:r>
    </w:p>
    <w:p w14:paraId="2C46FF60">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rPr>
        <w:t>特定资格：</w:t>
      </w:r>
      <w:r>
        <w:rPr>
          <w:rFonts w:hint="eastAsia" w:ascii="宋体" w:hAnsi="宋体" w:eastAsia="宋体" w:cs="宋体"/>
          <w:b w:val="0"/>
          <w:bCs w:val="0"/>
          <w:color w:val="auto"/>
          <w:sz w:val="24"/>
          <w:szCs w:val="24"/>
          <w:lang w:val="en-US" w:eastAsia="zh-CN"/>
        </w:rPr>
        <w:t>无。</w:t>
      </w:r>
    </w:p>
    <w:p w14:paraId="77458311">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采购范围：</w:t>
      </w:r>
    </w:p>
    <w:p w14:paraId="2D0B20C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①肠道菌群16S检测；</w:t>
      </w:r>
    </w:p>
    <w:p w14:paraId="15C218D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②非靶代谢及靶向代谢物检测；</w:t>
      </w:r>
    </w:p>
    <w:p w14:paraId="55F837B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sz w:val="24"/>
          <w:szCs w:val="24"/>
          <w:highlight w:val="cyan"/>
        </w:rPr>
      </w:pPr>
      <w:r>
        <w:rPr>
          <w:rFonts w:hint="eastAsia" w:ascii="宋体" w:hAnsi="宋体" w:eastAsia="宋体" w:cs="宋体"/>
          <w:sz w:val="24"/>
          <w:szCs w:val="24"/>
          <w:lang w:val="en-US" w:eastAsia="zh-CN"/>
        </w:rPr>
        <w:t>③血液及组织的单细胞转录组测序。</w:t>
      </w:r>
    </w:p>
    <w:p w14:paraId="0F57501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服务期限：</w:t>
      </w:r>
      <w:r>
        <w:rPr>
          <w:rFonts w:hint="eastAsia" w:ascii="宋体" w:hAnsi="宋体" w:eastAsia="宋体" w:cs="宋体"/>
          <w:sz w:val="24"/>
          <w:szCs w:val="24"/>
        </w:rPr>
        <w:t>合同签订之日起，服务期</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含售后期）</w:t>
      </w:r>
      <w:r>
        <w:rPr>
          <w:rFonts w:hint="eastAsia" w:ascii="宋体" w:hAnsi="宋体" w:eastAsia="宋体" w:cs="宋体"/>
          <w:sz w:val="24"/>
          <w:szCs w:val="24"/>
          <w:lang w:eastAsia="zh-CN"/>
        </w:rPr>
        <w:t>。</w:t>
      </w:r>
    </w:p>
    <w:p w14:paraId="3FC51C34">
      <w:pPr>
        <w:numPr>
          <w:ilvl w:val="0"/>
          <w:numId w:val="0"/>
        </w:num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付款方式：</w:t>
      </w:r>
    </w:p>
    <w:p w14:paraId="171CCD7E">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合同签订后，公司开具合同金额60%的增值税普通发票，我院项目组将合同金额的60%汇入公司账户。</w:t>
      </w:r>
    </w:p>
    <w:p w14:paraId="5B44B791">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公司收到样品后启动实验，在45个工作日内完成样本检测，30个工作日内完成标准分析。</w:t>
      </w:r>
    </w:p>
    <w:p w14:paraId="78F24757">
      <w:pPr>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公司将结题报告发送给我院项目组后，公司开具合同金额40%的增值税普通发票，我院支付合同尾款40%。</w:t>
      </w:r>
    </w:p>
    <w:p w14:paraId="61842161">
      <w:pPr>
        <w:ind w:firstLine="480" w:firstLineChars="200"/>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公司收到尾款后，5个工作日内释放原始数据。</w:t>
      </w:r>
    </w:p>
    <w:p w14:paraId="127D4163">
      <w:pPr>
        <w:rPr>
          <w:rFonts w:hint="eastAsia" w:asciiTheme="minorEastAsia" w:hAnsiTheme="minorEastAsia" w:eastAsiaTheme="minorEastAsia" w:cstheme="minorEastAsia"/>
          <w:sz w:val="24"/>
          <w:szCs w:val="24"/>
          <w:lang w:val="en-US" w:eastAsia="zh-CN"/>
        </w:rPr>
      </w:pPr>
    </w:p>
    <w:p w14:paraId="53B7E1C6">
      <w:pPr>
        <w:rPr>
          <w:rFonts w:hint="eastAsia"/>
          <w:b/>
          <w:sz w:val="32"/>
          <w:szCs w:val="32"/>
        </w:rPr>
      </w:pP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10" w:name="_Toc902"/>
      <w:bookmarkStart w:id="11" w:name="_Toc2479"/>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16" w:name="_Toc4559"/>
      <w:bookmarkStart w:id="17" w:name="_Toc11890"/>
      <w:bookmarkStart w:id="18" w:name="_Toc26111"/>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FCA0A40">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19" w:name="_Toc24403"/>
      <w:bookmarkStart w:id="20" w:name="_Toc569"/>
      <w:bookmarkStart w:id="21" w:name="_Toc19319"/>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8"/>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25" w:name="_Toc8953"/>
      <w:bookmarkStart w:id="26" w:name="_Toc32668"/>
      <w:bookmarkStart w:id="27" w:name="_Toc31728"/>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8"/>
        <w:spacing w:before="0" w:after="0"/>
        <w:jc w:val="center"/>
        <w:rPr>
          <w:rFonts w:hint="eastAsia"/>
          <w:color w:val="auto"/>
          <w:sz w:val="28"/>
          <w:highlight w:val="none"/>
          <w:lang w:eastAsia="zh-CN"/>
        </w:rPr>
      </w:pPr>
      <w:bookmarkStart w:id="35" w:name="_Toc11563"/>
    </w:p>
    <w:p w14:paraId="12BF41BA">
      <w:pPr>
        <w:pStyle w:val="8"/>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12"/>
        <w:spacing w:line="360" w:lineRule="auto"/>
        <w:ind w:firstLine="240" w:firstLineChars="100"/>
        <w:rPr>
          <w:rFonts w:hint="eastAsia" w:ascii="宋体" w:hAnsi="宋体"/>
          <w:bCs/>
          <w:sz w:val="24"/>
          <w:szCs w:val="24"/>
        </w:rPr>
      </w:pPr>
    </w:p>
    <w:p w14:paraId="2600FBBB">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
              <w:rPr>
                <w:highlight w:val="none"/>
              </w:rPr>
            </w:pPr>
          </w:p>
        </w:tc>
      </w:tr>
    </w:tbl>
    <w:p w14:paraId="3D06DC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4A5211AC">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36" w:name="_Toc30834"/>
      <w:bookmarkStart w:id="3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5"/>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39" w:name="_Toc11982"/>
      <w:bookmarkStart w:id="40" w:name="_Toc23117"/>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41" w:name="_Toc23816"/>
      <w:bookmarkStart w:id="42" w:name="_Toc2049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43" w:name="_Toc4948"/>
      <w:bookmarkStart w:id="44" w:name="_Toc2922"/>
      <w:bookmarkStart w:id="45" w:name="_Toc12801"/>
      <w:bookmarkStart w:id="46" w:name="_Toc4599"/>
      <w:bookmarkStart w:id="47" w:name="_Toc10750"/>
      <w:bookmarkStart w:id="48" w:name="_Toc28583"/>
      <w:bookmarkStart w:id="49" w:name="_Toc29526"/>
      <w:bookmarkStart w:id="50" w:name="_Toc337475928"/>
      <w:bookmarkStart w:id="51" w:name="_Toc349642319"/>
      <w:bookmarkStart w:id="52" w:name="_Toc320878714"/>
      <w:bookmarkStart w:id="53" w:name="_Toc337554798"/>
      <w:bookmarkStart w:id="54" w:name="_Toc304219331"/>
      <w:bookmarkStart w:id="55" w:name="_Toc30765"/>
      <w:bookmarkStart w:id="56" w:name="_Toc15867"/>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59" w:name="_Toc17593"/>
      <w:bookmarkStart w:id="60" w:name="_Toc11154"/>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3AC365FA"/>
    <w:multiLevelType w:val="singleLevel"/>
    <w:tmpl w:val="3AC365FA"/>
    <w:lvl w:ilvl="0" w:tentative="0">
      <w:start w:val="2"/>
      <w:numFmt w:val="chineseCounting"/>
      <w:suff w:val="space"/>
      <w:lvlText w:val="%1、"/>
      <w:lvlJc w:val="left"/>
      <w:rPr>
        <w:rFonts w:hint="eastAsia"/>
      </w:rPr>
    </w:lvl>
  </w:abstractNum>
  <w:abstractNum w:abstractNumId="2">
    <w:nsid w:val="3F6A1667"/>
    <w:multiLevelType w:val="singleLevel"/>
    <w:tmpl w:val="3F6A1667"/>
    <w:lvl w:ilvl="0" w:tentative="0">
      <w:start w:val="1"/>
      <w:numFmt w:val="decimal"/>
      <w:lvlText w:val="%1."/>
      <w:lvlJc w:val="left"/>
      <w:pPr>
        <w:tabs>
          <w:tab w:val="left" w:pos="312"/>
        </w:tabs>
      </w:p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2C0118"/>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650551"/>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925159"/>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475874"/>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00525A"/>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A60E36"/>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20157F"/>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33</Pages>
  <Words>3403</Words>
  <Characters>3620</Characters>
  <Lines>315</Lines>
  <Paragraphs>88</Paragraphs>
  <TotalTime>0</TotalTime>
  <ScaleCrop>false</ScaleCrop>
  <LinksUpToDate>false</LinksUpToDate>
  <CharactersWithSpaces>3964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2026-03-11T07:19:50Z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9F793350693C41A58139F7CD75091C55_13</vt:lpwstr>
  </property>
  <property fmtid="{D5CDD505-2E9C-101B-9397-08002B2CF9AE}" pid="4" name="KSOTemplateDocerSaveRecord">
    <vt:lpwstr>eyJoZGlkIjoiMTUyMDA2ZjQ4N2YyNDAzZWJjY2U2NWNkZDY5ZDY4ZDAiLCJ1c2VySWQiOiIxNTkzMTM1MzcxIn0=</vt:lpwstr>
  </property>
</Properties>
</file>