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F2DE95E">
      <w:pPr>
        <w:jc w:val="center"/>
        <w:rPr>
          <w:rFonts w:hint="eastAsia" w:ascii="宋体" w:hAnsi="宋体" w:cs="宋体"/>
          <w:b/>
          <w:sz w:val="40"/>
          <w:szCs w:val="40"/>
          <w:highlight w:val="green"/>
          <w:lang w:eastAsia="zh-CN"/>
        </w:rPr>
      </w:pPr>
      <w:bookmarkStart w:id="0" w:name="_Toc25130"/>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w:t>
      </w:r>
      <w:r>
        <w:rPr>
          <w:rFonts w:hint="eastAsia" w:ascii="宋体" w:hAnsi="宋体" w:cs="宋体"/>
          <w:b/>
          <w:sz w:val="40"/>
          <w:szCs w:val="40"/>
          <w:highlight w:val="green"/>
          <w:lang w:val="en-US" w:eastAsia="zh-CN"/>
        </w:rPr>
        <w:t>购买硬件运维服务</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rFonts w:hint="eastAsia"/>
          <w:b/>
          <w:sz w:val="52"/>
          <w:szCs w:val="52"/>
          <w:lang w:val="en-US" w:eastAsia="zh-CN"/>
        </w:rPr>
      </w:pPr>
      <w:r>
        <w:rPr>
          <w:rFonts w:hint="eastAsia"/>
          <w:b/>
          <w:sz w:val="52"/>
          <w:szCs w:val="52"/>
          <w:lang w:val="en-US" w:eastAsia="zh-CN"/>
        </w:rPr>
        <w:t>标段一</w:t>
      </w:r>
    </w:p>
    <w:p w14:paraId="0B9ADDC3">
      <w:pPr>
        <w:widowControl/>
        <w:spacing w:line="360" w:lineRule="auto"/>
        <w:jc w:val="center"/>
        <w:outlineLvl w:val="0"/>
        <w:rPr>
          <w:rFonts w:hint="default"/>
          <w:b/>
          <w:sz w:val="52"/>
          <w:szCs w:val="52"/>
          <w:lang w:val="en-US" w:eastAsia="zh-CN"/>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w:t>
      </w:r>
      <w:r>
        <w:rPr>
          <w:rFonts w:hint="eastAsia" w:ascii="宋体" w:hAnsi="宋体" w:cs="宋体"/>
          <w:b/>
          <w:sz w:val="32"/>
          <w:highlight w:val="cyan"/>
          <w:lang w:val="en-US" w:eastAsia="zh-CN"/>
        </w:rPr>
        <w:t>25</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39ABF27">
      <w:pPr>
        <w:spacing w:line="360" w:lineRule="auto"/>
        <w:jc w:val="center"/>
        <w:rPr>
          <w:rFonts w:hint="eastAsia"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3</w:t>
      </w:r>
      <w:r>
        <w:rPr>
          <w:rFonts w:hint="eastAsia" w:ascii="宋体" w:hAnsi="宋体" w:cs="宋体"/>
          <w:b/>
          <w:sz w:val="30"/>
          <w:szCs w:val="30"/>
          <w:highlight w:val="yellow"/>
        </w:rPr>
        <w:t>月</w:t>
      </w:r>
    </w:p>
    <w:p w14:paraId="6E02CDC3">
      <w:pPr>
        <w:rPr>
          <w:rFonts w:hint="eastAsia" w:ascii="宋体" w:hAnsi="宋体" w:cs="宋体"/>
          <w:b/>
          <w:sz w:val="30"/>
          <w:szCs w:val="30"/>
          <w:highlight w:val="yellow"/>
        </w:rPr>
      </w:pPr>
      <w:r>
        <w:rPr>
          <w:rFonts w:hint="eastAsia" w:ascii="宋体" w:hAnsi="宋体" w:cs="宋体"/>
          <w:b/>
          <w:sz w:val="30"/>
          <w:szCs w:val="30"/>
          <w:highlight w:val="yellow"/>
        </w:rPr>
        <w:br w:type="page"/>
      </w:r>
    </w:p>
    <w:p w14:paraId="41252A91">
      <w:pPr>
        <w:spacing w:line="360" w:lineRule="auto"/>
        <w:jc w:val="center"/>
        <w:rPr>
          <w:rFonts w:hint="eastAsia" w:ascii="宋体" w:hAnsi="宋体" w:cs="宋体"/>
          <w:b/>
          <w:sz w:val="30"/>
          <w:szCs w:val="30"/>
          <w:highlight w:val="yellow"/>
        </w:rPr>
      </w:pPr>
    </w:p>
    <w:p w14:paraId="11716E8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河南省胸科医院购买硬件运维服务</w:t>
      </w:r>
      <w:r>
        <w:rPr>
          <w:rFonts w:hint="eastAsia" w:asciiTheme="minorEastAsia" w:hAnsiTheme="minorEastAsia" w:eastAsiaTheme="minorEastAsia" w:cstheme="minorEastAsia"/>
          <w:color w:val="333333"/>
          <w:sz w:val="24"/>
          <w:szCs w:val="24"/>
        </w:rPr>
        <w:t xml:space="preserve"> 公开议价公告</w:t>
      </w:r>
    </w:p>
    <w:p w14:paraId="71EA75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799D46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河南省胸科医院购买硬件运维服务</w:t>
      </w:r>
      <w:r>
        <w:rPr>
          <w:rFonts w:hint="default" w:asciiTheme="minorEastAsia" w:hAnsiTheme="minorEastAsia" w:eastAsiaTheme="minorEastAsia" w:cstheme="minorEastAsia"/>
          <w:color w:val="333333"/>
          <w:sz w:val="24"/>
          <w:szCs w:val="24"/>
        </w:rPr>
        <w:t>。</w:t>
      </w:r>
    </w:p>
    <w:p w14:paraId="5CD7899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5FCB93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医院购买硬件运维服务</w:t>
      </w:r>
      <w:r>
        <w:rPr>
          <w:rFonts w:hint="default" w:asciiTheme="minorEastAsia" w:hAnsiTheme="minorEastAsia" w:eastAsiaTheme="minorEastAsia" w:cstheme="minorEastAsia"/>
          <w:color w:val="333333"/>
          <w:sz w:val="24"/>
          <w:szCs w:val="24"/>
        </w:rPr>
        <w:t>。</w:t>
      </w:r>
    </w:p>
    <w:p w14:paraId="2F8C50B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6AA39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标段一：网络运维服务：</w:t>
      </w: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30</w:t>
      </w:r>
      <w:r>
        <w:rPr>
          <w:rFonts w:hint="default" w:asciiTheme="minorEastAsia" w:hAnsiTheme="minorEastAsia" w:eastAsiaTheme="minorEastAsia" w:cstheme="minorEastAsia"/>
          <w:color w:val="333333"/>
          <w:sz w:val="24"/>
          <w:szCs w:val="24"/>
        </w:rPr>
        <w:t>万元。</w:t>
      </w:r>
    </w:p>
    <w:p w14:paraId="550C3C9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标段二：中心机房硬件运维服务：</w:t>
      </w: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rPr>
        <w:t>万元。</w:t>
      </w:r>
    </w:p>
    <w:p w14:paraId="652EF49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5CC4A75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86FBFF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04730D4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527BB1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19F9182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C7B469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5D3CED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3908FC7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627387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63B4E9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2FC704D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6092BC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5389D0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3</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30</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F46848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5A00F54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579A700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4883E8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4C0E8B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77CB170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096005E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6AED7B3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4854CAB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358B57B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8064FD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48A28EB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31A8B9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946815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4D69446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0368740">
      <w:pPr>
        <w:keepNext w:val="0"/>
        <w:keepLines w:val="0"/>
        <w:suppressLineNumbers w:val="0"/>
        <w:spacing w:before="0" w:beforeAutospacing="0" w:after="0" w:afterAutospacing="0" w:line="460" w:lineRule="exact"/>
        <w:ind w:left="0" w:right="0"/>
        <w:rPr>
          <w:rFonts w:hint="default" w:ascii="宋体" w:hAnsi="宋体" w:eastAsia="宋体" w:cs="宋体"/>
          <w:sz w:val="24"/>
          <w:szCs w:val="24"/>
        </w:rPr>
      </w:pPr>
    </w:p>
    <w:p w14:paraId="73CFB63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751CE04"/>
    <w:p w14:paraId="59D87986">
      <w:pPr>
        <w:rPr>
          <w:spacing w:val="7"/>
        </w:rPr>
      </w:pPr>
      <w:r>
        <w:rPr>
          <w:spacing w:val="7"/>
        </w:rPr>
        <w:br w:type="page"/>
      </w:r>
    </w:p>
    <w:p w14:paraId="60EF45F3">
      <w:pPr>
        <w:pStyle w:val="25"/>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8"/>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6"/>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6"/>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75E4444C">
      <w:pPr>
        <w:numPr>
          <w:ilvl w:val="0"/>
          <w:numId w:val="2"/>
        </w:numPr>
        <w:spacing w:line="360" w:lineRule="auto"/>
        <w:jc w:val="both"/>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技术要求（其中标★项为关键要求）</w:t>
      </w:r>
    </w:p>
    <w:p w14:paraId="10FFA522">
      <w:pPr>
        <w:numPr>
          <w:ilvl w:val="0"/>
          <w:numId w:val="0"/>
        </w:numPr>
        <w:spacing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项目概述与服务范围</w:t>
      </w:r>
    </w:p>
    <w:p w14:paraId="4084563A">
      <w:pPr>
        <w:pStyle w:val="10"/>
        <w:numPr>
          <w:ilvl w:val="0"/>
          <w:numId w:val="0"/>
        </w:numPr>
        <w:spacing w:line="360" w:lineRule="auto"/>
        <w:ind w:firstLine="480" w:firstLineChars="200"/>
        <w:jc w:val="left"/>
        <w:rPr>
          <w:rFonts w:hint="eastAsia" w:ascii="宋体" w:hAnsi="宋体" w:eastAsia="宋体" w:cs="宋体"/>
          <w:b w:val="0"/>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项目目标：保障全院网络系统（包括内外网、无线网、物联网）7×24小时稳定运行，提升信息</w:t>
      </w:r>
      <w:r>
        <w:rPr>
          <w:rFonts w:hint="eastAsia" w:ascii="宋体" w:hAnsi="宋体" w:eastAsia="宋体" w:cs="宋体"/>
          <w:sz w:val="24"/>
          <w:szCs w:val="24"/>
          <w:lang w:val="en-US" w:eastAsia="zh-CN"/>
        </w:rPr>
        <w:t>中心</w:t>
      </w:r>
      <w:r>
        <w:rPr>
          <w:rFonts w:hint="eastAsia" w:ascii="宋体" w:hAnsi="宋体" w:eastAsia="宋体" w:cs="宋体"/>
          <w:sz w:val="24"/>
          <w:szCs w:val="24"/>
        </w:rPr>
        <w:t>对故障的响应与处置能力，确保医疗业务连续性。</w:t>
      </w:r>
    </w:p>
    <w:p w14:paraId="7FA705FC">
      <w:pPr>
        <w:pStyle w:val="10"/>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服务范围：</w:t>
      </w:r>
    </w:p>
    <w:p w14:paraId="6B932A2A">
      <w:pPr>
        <w:pStyle w:val="10"/>
        <w:numPr>
          <w:ilvl w:val="0"/>
          <w:numId w:val="0"/>
        </w:num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硬件设备：包含核心交换机、汇聚交换机、接入交换机、路由器、无线控制器（AC）、无线接入点（AP）、防火墙、入侵检测/防御系统（IDS/IPS）等</w:t>
      </w:r>
      <w:r>
        <w:rPr>
          <w:rFonts w:hint="eastAsia" w:ascii="宋体" w:hAnsi="宋体" w:eastAsia="宋体" w:cs="宋体"/>
          <w:sz w:val="24"/>
          <w:szCs w:val="24"/>
          <w:lang w:eastAsia="zh-CN"/>
        </w:rPr>
        <w:t>。</w:t>
      </w:r>
    </w:p>
    <w:p w14:paraId="5492E1FA">
      <w:pPr>
        <w:pStyle w:val="1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线路链路：院内楼宇间主干光缆、</w:t>
      </w:r>
      <w:r>
        <w:rPr>
          <w:rFonts w:hint="eastAsia" w:ascii="宋体" w:hAnsi="宋体" w:eastAsia="宋体" w:cs="宋体"/>
          <w:color w:val="auto"/>
          <w:sz w:val="24"/>
          <w:szCs w:val="24"/>
        </w:rPr>
        <w:t>室内</w:t>
      </w:r>
      <w:r>
        <w:rPr>
          <w:rFonts w:hint="eastAsia" w:ascii="宋体" w:hAnsi="宋体" w:eastAsia="宋体" w:cs="宋体"/>
          <w:color w:val="auto"/>
          <w:sz w:val="24"/>
          <w:szCs w:val="24"/>
          <w:lang w:val="en-US" w:eastAsia="zh-CN"/>
        </w:rPr>
        <w:t>网络线路</w:t>
      </w:r>
      <w:r>
        <w:rPr>
          <w:rFonts w:hint="eastAsia" w:ascii="宋体" w:hAnsi="宋体" w:eastAsia="宋体" w:cs="宋体"/>
          <w:color w:val="auto"/>
          <w:sz w:val="24"/>
          <w:szCs w:val="24"/>
        </w:rPr>
        <w:t>（双绞线、光纤、配线架、信息模块）、</w:t>
      </w:r>
      <w:r>
        <w:rPr>
          <w:rFonts w:hint="eastAsia" w:ascii="宋体" w:hAnsi="宋体" w:eastAsia="宋体" w:cs="宋体"/>
          <w:sz w:val="24"/>
          <w:szCs w:val="24"/>
        </w:rPr>
        <w:t>弱电间/配线间环境维护。</w:t>
      </w:r>
    </w:p>
    <w:p w14:paraId="242C5B75">
      <w:pPr>
        <w:pStyle w:val="1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IP资源与配置：全院IP地址规划管理、VLAN划分调整、设备配置备份。</w:t>
      </w:r>
    </w:p>
    <w:p w14:paraId="0B65643E">
      <w:pPr>
        <w:pStyle w:val="1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服务人员资质要求</w:t>
      </w:r>
    </w:p>
    <w:p w14:paraId="12468B4A">
      <w:pPr>
        <w:pStyle w:val="1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为确保服务质量，</w:t>
      </w:r>
      <w:r>
        <w:rPr>
          <w:rFonts w:hint="eastAsia" w:ascii="宋体" w:hAnsi="宋体" w:eastAsia="宋体" w:cs="宋体"/>
          <w:sz w:val="24"/>
          <w:szCs w:val="24"/>
          <w:lang w:val="en-US" w:eastAsia="zh-CN"/>
        </w:rPr>
        <w:t>供</w:t>
      </w:r>
      <w:r>
        <w:rPr>
          <w:rFonts w:hint="eastAsia" w:ascii="宋体" w:hAnsi="宋体" w:eastAsia="宋体" w:cs="宋体"/>
          <w:sz w:val="24"/>
          <w:szCs w:val="24"/>
        </w:rPr>
        <w:t>方需组建专门的项目团队，提供双人驻场保障机制</w:t>
      </w:r>
      <w:r>
        <w:rPr>
          <w:rFonts w:hint="eastAsia" w:ascii="宋体" w:hAnsi="宋体" w:eastAsia="宋体" w:cs="宋体"/>
          <w:sz w:val="24"/>
          <w:szCs w:val="24"/>
          <w:lang w:eastAsia="zh-CN"/>
        </w:rPr>
        <w:t>。</w:t>
      </w:r>
    </w:p>
    <w:p w14:paraId="2B5D8CCE">
      <w:pPr>
        <w:pStyle w:val="10"/>
        <w:numPr>
          <w:ilvl w:val="0"/>
          <w:numId w:val="0"/>
        </w:numPr>
        <w:spacing w:line="360" w:lineRule="auto"/>
        <w:ind w:left="480" w:leftChars="0"/>
        <w:rPr>
          <w:rFonts w:hint="eastAsia" w:ascii="宋体" w:hAnsi="宋体" w:eastAsia="宋体" w:cs="宋体"/>
          <w:b w:val="0"/>
          <w:sz w:val="24"/>
          <w:szCs w:val="24"/>
        </w:rPr>
      </w:pPr>
      <w:r>
        <w:rPr>
          <w:rFonts w:hint="eastAsia" w:ascii="宋体" w:hAnsi="宋体" w:eastAsia="宋体" w:cs="宋体"/>
          <w:b/>
          <w:bCs w:val="0"/>
          <w:sz w:val="24"/>
          <w:szCs w:val="24"/>
          <w:lang w:val="en-US" w:eastAsia="zh-CN"/>
        </w:rPr>
        <w:t>★</w:t>
      </w:r>
      <w:r>
        <w:rPr>
          <w:rFonts w:hint="eastAsia" w:ascii="宋体" w:hAnsi="宋体" w:eastAsia="宋体" w:cs="宋体"/>
          <w:sz w:val="24"/>
          <w:szCs w:val="24"/>
          <w:lang w:val="en-US" w:eastAsia="zh-CN"/>
        </w:rPr>
        <w:t>2.1</w:t>
      </w:r>
      <w:r>
        <w:rPr>
          <w:rFonts w:hint="eastAsia" w:ascii="宋体" w:hAnsi="宋体" w:eastAsia="宋体" w:cs="宋体"/>
          <w:sz w:val="24"/>
          <w:szCs w:val="24"/>
        </w:rPr>
        <w:t>驻场工程师（2名）</w:t>
      </w:r>
    </w:p>
    <w:p w14:paraId="5530B2A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人员配置：提供2名全职驻场工程师，实行AB角工作制，确保工作日（周一至周五 8</w:t>
      </w:r>
      <w:r>
        <w:rPr>
          <w:rFonts w:hint="eastAsia" w:ascii="宋体" w:hAnsi="宋体" w:eastAsia="宋体" w:cs="宋体"/>
          <w:sz w:val="24"/>
          <w:szCs w:val="24"/>
          <w:lang w:eastAsia="zh-CN"/>
        </w:rPr>
        <w:t>:</w:t>
      </w:r>
      <w:r>
        <w:rPr>
          <w:rFonts w:hint="eastAsia" w:ascii="宋体" w:hAnsi="宋体" w:eastAsia="宋体" w:cs="宋体"/>
          <w:sz w:val="24"/>
          <w:szCs w:val="24"/>
        </w:rPr>
        <w:t>00-17</w:t>
      </w:r>
      <w:r>
        <w:rPr>
          <w:rFonts w:hint="eastAsia" w:ascii="宋体" w:hAnsi="宋体" w:eastAsia="宋体" w:cs="宋体"/>
          <w:sz w:val="24"/>
          <w:szCs w:val="24"/>
          <w:lang w:eastAsia="zh-CN"/>
        </w:rPr>
        <w:t>:</w:t>
      </w:r>
      <w:r>
        <w:rPr>
          <w:rFonts w:hint="eastAsia" w:ascii="宋体" w:hAnsi="宋体" w:eastAsia="宋体" w:cs="宋体"/>
          <w:sz w:val="24"/>
          <w:szCs w:val="24"/>
        </w:rPr>
        <w:t>30</w:t>
      </w:r>
      <w:r>
        <w:rPr>
          <w:rFonts w:hint="eastAsia" w:ascii="宋体" w:hAnsi="宋体" w:eastAsia="宋体" w:cs="宋体"/>
          <w:sz w:val="24"/>
          <w:szCs w:val="24"/>
          <w:lang w:val="en-US" w:eastAsia="zh-CN"/>
        </w:rPr>
        <w:t>周六8:00-12:00</w:t>
      </w:r>
      <w:r>
        <w:rPr>
          <w:rFonts w:hint="eastAsia" w:ascii="宋体" w:hAnsi="宋体" w:eastAsia="宋体" w:cs="宋体"/>
          <w:sz w:val="24"/>
          <w:szCs w:val="24"/>
        </w:rPr>
        <w:t>）至少2人同时在岗，周末及法定节假日至少1人7×24小时备勤。</w:t>
      </w:r>
    </w:p>
    <w:p w14:paraId="02991125">
      <w:pPr>
        <w:pStyle w:val="10"/>
        <w:spacing w:line="360" w:lineRule="auto"/>
        <w:ind w:firstLine="482" w:firstLineChars="200"/>
        <w:rPr>
          <w:rFonts w:hint="eastAsia" w:ascii="宋体" w:hAnsi="宋体" w:eastAsia="宋体" w:cs="宋体"/>
          <w:sz w:val="24"/>
          <w:szCs w:val="24"/>
        </w:rPr>
      </w:pPr>
      <w:r>
        <w:rPr>
          <w:rFonts w:hint="eastAsia" w:ascii="宋体" w:hAnsi="宋体" w:eastAsia="宋体" w:cs="宋体"/>
          <w:b/>
          <w:bCs w:val="0"/>
          <w:sz w:val="24"/>
          <w:szCs w:val="24"/>
          <w:lang w:val="en-US" w:eastAsia="zh-CN"/>
        </w:rPr>
        <w:t>★</w:t>
      </w:r>
      <w:r>
        <w:rPr>
          <w:rFonts w:hint="eastAsia" w:ascii="宋体" w:hAnsi="宋体" w:eastAsia="宋体" w:cs="宋体"/>
          <w:sz w:val="24"/>
          <w:szCs w:val="24"/>
          <w:lang w:val="en-US" w:eastAsia="zh-CN"/>
        </w:rPr>
        <w:t>2.2</w:t>
      </w:r>
      <w:r>
        <w:rPr>
          <w:rFonts w:hint="eastAsia" w:ascii="宋体" w:hAnsi="宋体" w:eastAsia="宋体" w:cs="宋体"/>
          <w:sz w:val="24"/>
          <w:szCs w:val="24"/>
        </w:rPr>
        <w:t>职责分工</w:t>
      </w:r>
    </w:p>
    <w:p w14:paraId="272BABD0">
      <w:pPr>
        <w:pStyle w:val="1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sz w:val="24"/>
          <w:szCs w:val="24"/>
        </w:rPr>
        <w:t>工程师A（网络与安全方向）：侧重核心网络设备、网络安全策略、无线控制器等配置与维护。</w:t>
      </w:r>
      <w:r>
        <w:rPr>
          <w:rFonts w:hint="eastAsia" w:ascii="宋体" w:hAnsi="宋体" w:eastAsia="宋体" w:cs="宋体"/>
          <w:color w:val="auto"/>
          <w:sz w:val="24"/>
          <w:szCs w:val="24"/>
          <w:lang w:val="en-US" w:eastAsia="zh-CN"/>
        </w:rPr>
        <w:t>熟悉以太光网、PON光网的组网及相关设备配置。</w:t>
      </w:r>
    </w:p>
    <w:p w14:paraId="4B7DCCD6">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工程师B（</w:t>
      </w:r>
      <w:r>
        <w:rPr>
          <w:rFonts w:hint="eastAsia" w:ascii="宋体" w:hAnsi="宋体" w:eastAsia="宋体" w:cs="宋体"/>
          <w:sz w:val="24"/>
          <w:szCs w:val="24"/>
          <w:lang w:val="en-US" w:eastAsia="zh-CN"/>
        </w:rPr>
        <w:t>网络线路</w:t>
      </w:r>
      <w:r>
        <w:rPr>
          <w:rFonts w:hint="eastAsia" w:ascii="宋体" w:hAnsi="宋体" w:eastAsia="宋体" w:cs="宋体"/>
          <w:sz w:val="24"/>
          <w:szCs w:val="24"/>
        </w:rPr>
        <w:t>及终端方向）：侧重接入层交换机、信息点故障排查、弱电间巡检、终端接入及</w:t>
      </w:r>
      <w:r>
        <w:rPr>
          <w:rFonts w:hint="eastAsia" w:ascii="宋体" w:hAnsi="宋体" w:eastAsia="宋体" w:cs="宋体"/>
          <w:sz w:val="24"/>
          <w:szCs w:val="24"/>
          <w:lang w:val="en-US" w:eastAsia="zh-CN"/>
        </w:rPr>
        <w:t>网络线路梳理</w:t>
      </w:r>
      <w:r>
        <w:rPr>
          <w:rFonts w:hint="eastAsia" w:ascii="宋体" w:hAnsi="宋体" w:eastAsia="宋体" w:cs="宋体"/>
          <w:sz w:val="24"/>
          <w:szCs w:val="24"/>
        </w:rPr>
        <w:t>。</w:t>
      </w:r>
    </w:p>
    <w:p w14:paraId="14CDB2D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w:t>
      </w:r>
      <w:r>
        <w:rPr>
          <w:rFonts w:hint="eastAsia" w:ascii="宋体" w:hAnsi="宋体" w:eastAsia="宋体" w:cs="宋体"/>
          <w:sz w:val="24"/>
          <w:szCs w:val="24"/>
          <w:lang w:val="en-US" w:eastAsia="zh-CN"/>
        </w:rPr>
        <w:t>2.3</w:t>
      </w:r>
      <w:r>
        <w:rPr>
          <w:rFonts w:hint="eastAsia" w:ascii="宋体" w:hAnsi="宋体" w:eastAsia="宋体" w:cs="宋体"/>
          <w:sz w:val="24"/>
          <w:szCs w:val="24"/>
        </w:rPr>
        <w:t xml:space="preserve"> 资历要求：要求</w:t>
      </w:r>
      <w:r>
        <w:rPr>
          <w:rFonts w:hint="eastAsia" w:ascii="宋体" w:hAnsi="宋体" w:eastAsia="宋体" w:cs="宋体"/>
          <w:sz w:val="24"/>
          <w:szCs w:val="24"/>
          <w:lang w:val="en-US" w:eastAsia="zh-CN"/>
        </w:rPr>
        <w:t>2名</w:t>
      </w:r>
      <w:r>
        <w:rPr>
          <w:rFonts w:hint="eastAsia" w:ascii="宋体" w:hAnsi="宋体" w:eastAsia="宋体" w:cs="宋体"/>
          <w:sz w:val="24"/>
          <w:szCs w:val="24"/>
        </w:rPr>
        <w:t>驻场</w:t>
      </w:r>
      <w:r>
        <w:rPr>
          <w:rFonts w:hint="eastAsia" w:ascii="宋体" w:hAnsi="宋体" w:eastAsia="宋体" w:cs="宋体"/>
          <w:sz w:val="24"/>
          <w:szCs w:val="24"/>
          <w:lang w:val="en-US" w:eastAsia="zh-CN"/>
        </w:rPr>
        <w:t>运维人员须具备计算机或网络相关专业本科及以上学历，至少1人持有网络相关中级认证证书（如网络工程师证书、华为HCIP、华三H3CSE或同等及以上级别认证）；熟悉网络设备等运维管理操作，拥有2年以上相关工作经验，并需提供该人员近一个月的社保证明及相关证书复印件。</w:t>
      </w:r>
    </w:p>
    <w:p w14:paraId="6E27A0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二线专家团队：</w:t>
      </w:r>
      <w:r>
        <w:rPr>
          <w:rFonts w:hint="eastAsia" w:ascii="宋体" w:hAnsi="宋体" w:eastAsia="宋体" w:cs="宋体"/>
          <w:sz w:val="24"/>
          <w:szCs w:val="24"/>
          <w:lang w:eastAsia="zh-CN"/>
        </w:rPr>
        <w:t>供方</w:t>
      </w:r>
      <w:r>
        <w:rPr>
          <w:rFonts w:hint="eastAsia" w:ascii="宋体" w:hAnsi="宋体" w:eastAsia="宋体" w:cs="宋体"/>
          <w:sz w:val="24"/>
          <w:szCs w:val="24"/>
        </w:rPr>
        <w:t>拟投入</w:t>
      </w:r>
      <w:r>
        <w:rPr>
          <w:rFonts w:hint="eastAsia" w:ascii="宋体" w:hAnsi="宋体" w:eastAsia="宋体" w:cs="宋体"/>
          <w:sz w:val="24"/>
          <w:szCs w:val="24"/>
          <w:lang w:val="en-US" w:eastAsia="zh-CN"/>
        </w:rPr>
        <w:t>运维</w:t>
      </w:r>
      <w:r>
        <w:rPr>
          <w:rFonts w:hint="eastAsia" w:ascii="宋体" w:hAnsi="宋体" w:eastAsia="宋体" w:cs="宋体"/>
          <w:sz w:val="24"/>
          <w:szCs w:val="24"/>
        </w:rPr>
        <w:t>的二线技术团队中，</w:t>
      </w:r>
      <w:r>
        <w:rPr>
          <w:rFonts w:hint="eastAsia" w:ascii="宋体" w:hAnsi="宋体" w:eastAsia="宋体" w:cs="宋体"/>
          <w:sz w:val="24"/>
          <w:szCs w:val="24"/>
          <w:lang w:val="en-US" w:eastAsia="zh-CN"/>
        </w:rPr>
        <w:t>至少配备1名持有网络相关高级认证的工程师（如国家软考高级资格证书、华为HCIE、华三H3CIE或其他主流厂商顶级认证）。所有二线运维工程师须拥有3年以上相关工作经验，并需提供该人员近一个月的社保证明及相关证书复印件。</w:t>
      </w:r>
      <w:r>
        <w:rPr>
          <w:rFonts w:hint="eastAsia" w:ascii="宋体" w:hAnsi="宋体" w:eastAsia="宋体" w:cs="宋体"/>
          <w:sz w:val="24"/>
          <w:szCs w:val="24"/>
        </w:rPr>
        <w:t>在出现重大故障或需架构调整时，能在2小时内到达现场支援。</w:t>
      </w:r>
    </w:p>
    <w:p w14:paraId="2982A6DD">
      <w:pPr>
        <w:keepNext w:val="0"/>
        <w:keepLines w:val="0"/>
        <w:pageBreakBefore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服务内容与要求</w:t>
      </w:r>
    </w:p>
    <w:p w14:paraId="463A3E9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日常巡检与预防性维护</w:t>
      </w:r>
    </w:p>
    <w:p w14:paraId="1360DB1F">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巡检频率：每日对</w:t>
      </w:r>
      <w:r>
        <w:rPr>
          <w:rFonts w:hint="eastAsia" w:ascii="宋体" w:hAnsi="宋体" w:eastAsia="宋体" w:cs="宋体"/>
          <w:sz w:val="24"/>
          <w:szCs w:val="24"/>
          <w:lang w:val="en-US" w:eastAsia="zh-CN"/>
        </w:rPr>
        <w:t>中心</w:t>
      </w:r>
      <w:r>
        <w:rPr>
          <w:rFonts w:hint="eastAsia" w:ascii="宋体" w:hAnsi="宋体" w:eastAsia="宋体" w:cs="宋体"/>
          <w:sz w:val="24"/>
          <w:szCs w:val="24"/>
        </w:rPr>
        <w:t>机房设备进行巡查；每周对楼层弱电间设备进行抽查；每月对全院网络设备（含AP）进行一次全面健康检查。</w:t>
      </w:r>
    </w:p>
    <w:p w14:paraId="350CC3C5">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巡检内容：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检查设备运行状态（指示灯、风扇、电源、温度、CPU/内存利用率）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检查链路状态（端口光衰、错包率、带宽占用率）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检查设备日志，分析潜在风险。</w:t>
      </w:r>
    </w:p>
    <w:p w14:paraId="6E096AC4">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环境整理：每月清理弱电间灰尘，整理凌乱线路，更新/补全线路标签（要求：标识清晰，两端对应，拓扑图与实际一致）。</w:t>
      </w:r>
    </w:p>
    <w:p w14:paraId="252068C0">
      <w:pPr>
        <w:pStyle w:val="10"/>
        <w:spacing w:line="360" w:lineRule="auto"/>
        <w:ind w:firstLine="482" w:firstLineChars="200"/>
        <w:rPr>
          <w:rFonts w:hint="eastAsia" w:ascii="宋体" w:hAnsi="宋体" w:eastAsia="宋体" w:cs="宋体"/>
          <w:b w:val="0"/>
          <w:sz w:val="24"/>
          <w:szCs w:val="24"/>
        </w:rPr>
      </w:pPr>
      <w:r>
        <w:rPr>
          <w:rFonts w:hint="eastAsia" w:ascii="宋体" w:hAnsi="宋体" w:eastAsia="宋体" w:cs="宋体"/>
          <w:b/>
          <w:bCs w:val="0"/>
          <w:sz w:val="24"/>
          <w:szCs w:val="24"/>
          <w:lang w:val="en-US" w:eastAsia="zh-CN"/>
        </w:rPr>
        <w:t>★</w:t>
      </w:r>
      <w:r>
        <w:rPr>
          <w:rFonts w:hint="eastAsia" w:ascii="宋体" w:hAnsi="宋体" w:eastAsia="宋体" w:cs="宋体"/>
          <w:sz w:val="24"/>
          <w:szCs w:val="24"/>
          <w:lang w:val="en-US" w:eastAsia="zh-CN"/>
        </w:rPr>
        <w:t>3.2</w:t>
      </w:r>
      <w:r>
        <w:rPr>
          <w:rFonts w:hint="eastAsia" w:ascii="宋体" w:hAnsi="宋体" w:eastAsia="宋体" w:cs="宋体"/>
          <w:sz w:val="24"/>
          <w:szCs w:val="24"/>
        </w:rPr>
        <w:t>故障响应与应急处置</w:t>
      </w:r>
    </w:p>
    <w:p w14:paraId="56B1F5E4">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响应机制：提供7×24小时故障响应服务。</w:t>
      </w:r>
    </w:p>
    <w:p w14:paraId="7D28A65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一级故障（全院性网络中断）：双人同时响应，响应时间≤5分钟，恢复时间≤1小时。需启动紧急预案，利用备品备件快速恢复。</w:t>
      </w:r>
    </w:p>
    <w:p w14:paraId="774760A9">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二级故障（楼宇/科室区域断网）：响应时间≤15分钟，恢复时间≤2小时。</w:t>
      </w:r>
    </w:p>
    <w:p w14:paraId="0F849F31">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三级故障（单点终端接入故障）：恢复时间≤4小时。</w:t>
      </w:r>
    </w:p>
    <w:p w14:paraId="16EBA78E">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交接班机制：建立完善的交接班日志制度，确保两名驻场工程师之间信息同步，避免因换班导致故障遗漏。</w:t>
      </w:r>
    </w:p>
    <w:p w14:paraId="73DDD034">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备件保障：</w:t>
      </w:r>
      <w:r>
        <w:rPr>
          <w:rFonts w:hint="eastAsia" w:ascii="宋体" w:hAnsi="宋体" w:eastAsia="宋体" w:cs="宋体"/>
          <w:sz w:val="24"/>
          <w:szCs w:val="24"/>
          <w:lang w:val="en-US" w:eastAsia="zh-CN"/>
        </w:rPr>
        <w:t>供</w:t>
      </w:r>
      <w:r>
        <w:rPr>
          <w:rFonts w:hint="eastAsia" w:ascii="宋体" w:hAnsi="宋体" w:eastAsia="宋体" w:cs="宋体"/>
          <w:sz w:val="24"/>
          <w:szCs w:val="24"/>
        </w:rPr>
        <w:t>方需提供常用备品备件库（包括但不限于：接入交换机、光模块、</w:t>
      </w:r>
      <w:r>
        <w:rPr>
          <w:rFonts w:hint="eastAsia" w:ascii="宋体" w:hAnsi="宋体" w:eastAsia="宋体" w:cs="宋体"/>
          <w:sz w:val="24"/>
          <w:szCs w:val="24"/>
          <w:lang w:val="en-US" w:eastAsia="zh-CN"/>
        </w:rPr>
        <w:t>光纤跳线、</w:t>
      </w:r>
      <w:r>
        <w:rPr>
          <w:rFonts w:hint="eastAsia" w:ascii="宋体" w:hAnsi="宋体" w:eastAsia="宋体" w:cs="宋体"/>
          <w:sz w:val="24"/>
          <w:szCs w:val="24"/>
        </w:rPr>
        <w:t>电源模块、无线AP、网卡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光纤收发器</w:t>
      </w:r>
      <w:r>
        <w:rPr>
          <w:rFonts w:hint="eastAsia" w:ascii="宋体" w:hAnsi="宋体" w:eastAsia="宋体" w:cs="宋体"/>
          <w:sz w:val="24"/>
          <w:szCs w:val="24"/>
        </w:rPr>
        <w:t>），存放于医院指定地点，故障时先行更换，事后维修</w:t>
      </w:r>
      <w:r>
        <w:rPr>
          <w:rFonts w:hint="eastAsia" w:ascii="宋体" w:hAnsi="宋体" w:eastAsia="宋体" w:cs="宋体"/>
          <w:sz w:val="24"/>
          <w:szCs w:val="24"/>
          <w:lang w:val="en-US" w:eastAsia="zh-CN"/>
        </w:rPr>
        <w:t>或者采购</w:t>
      </w:r>
      <w:r>
        <w:rPr>
          <w:rFonts w:hint="eastAsia" w:ascii="宋体" w:hAnsi="宋体" w:eastAsia="宋体" w:cs="宋体"/>
          <w:sz w:val="24"/>
          <w:szCs w:val="24"/>
        </w:rPr>
        <w:t>。</w:t>
      </w:r>
    </w:p>
    <w:p w14:paraId="1F609F7E">
      <w:pPr>
        <w:pStyle w:val="3"/>
        <w:numPr>
          <w:ilvl w:val="0"/>
          <w:numId w:val="0"/>
        </w:numPr>
        <w:spacing w:line="360" w:lineRule="auto"/>
        <w:ind w:leftChars="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3.3</w:t>
      </w:r>
      <w:r>
        <w:rPr>
          <w:rFonts w:hint="eastAsia" w:ascii="宋体" w:hAnsi="宋体" w:eastAsia="宋体" w:cs="宋体"/>
          <w:b w:val="0"/>
          <w:bCs w:val="0"/>
          <w:sz w:val="24"/>
          <w:szCs w:val="24"/>
        </w:rPr>
        <w:t>网络变更与配置管理</w:t>
      </w:r>
    </w:p>
    <w:p w14:paraId="7677A672">
      <w:pPr>
        <w:pStyle w:val="3"/>
        <w:numPr>
          <w:ilvl w:val="0"/>
          <w:numId w:val="0"/>
        </w:numPr>
        <w:spacing w:line="360" w:lineRule="auto"/>
        <w:ind w:leftChars="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双人操作制：涉及核心设备配置变更时，必须执行“双人复核制”（一人操作，一人审核），确保变更操作准确无误，操作后更新配置文档。</w:t>
      </w:r>
    </w:p>
    <w:p w14:paraId="4E94F74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配置管理：所有核心设备的配置修改需遵循变更管理流程，操作前必须进行配置备份。</w:t>
      </w:r>
    </w:p>
    <w:p w14:paraId="12D8AB05">
      <w:pPr>
        <w:pStyle w:val="1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网线维护</w:t>
      </w:r>
      <w:r>
        <w:rPr>
          <w:rFonts w:hint="eastAsia" w:ascii="宋体" w:hAnsi="宋体" w:eastAsia="宋体" w:cs="宋体"/>
          <w:color w:val="auto"/>
          <w:sz w:val="24"/>
          <w:szCs w:val="24"/>
        </w:rPr>
        <w:t>：负责院内日常</w:t>
      </w:r>
      <w:r>
        <w:rPr>
          <w:rFonts w:hint="eastAsia" w:ascii="宋体" w:hAnsi="宋体" w:eastAsia="宋体" w:cs="宋体"/>
          <w:color w:val="auto"/>
          <w:sz w:val="24"/>
          <w:szCs w:val="24"/>
          <w:lang w:val="en-US" w:eastAsia="zh-CN"/>
        </w:rPr>
        <w:t>网线维护</w:t>
      </w:r>
      <w:r>
        <w:rPr>
          <w:rFonts w:hint="eastAsia" w:ascii="宋体" w:hAnsi="宋体" w:eastAsia="宋体" w:cs="宋体"/>
          <w:color w:val="auto"/>
          <w:sz w:val="24"/>
          <w:szCs w:val="24"/>
        </w:rPr>
        <w:t>工作（如新开科室、调整工位）。要求使用经测试合格的网线</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光纤，</w:t>
      </w:r>
      <w:r>
        <w:rPr>
          <w:rFonts w:hint="eastAsia" w:ascii="宋体" w:hAnsi="宋体" w:eastAsia="宋体" w:cs="宋体"/>
          <w:color w:val="auto"/>
          <w:sz w:val="24"/>
          <w:szCs w:val="24"/>
          <w:lang w:val="en-US" w:eastAsia="zh-CN"/>
        </w:rPr>
        <w:t>维护</w:t>
      </w:r>
      <w:r>
        <w:rPr>
          <w:rFonts w:hint="eastAsia" w:ascii="宋体" w:hAnsi="宋体" w:eastAsia="宋体" w:cs="宋体"/>
          <w:color w:val="auto"/>
          <w:sz w:val="24"/>
          <w:szCs w:val="24"/>
        </w:rPr>
        <w:t>完毕后提供</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报告。</w:t>
      </w:r>
    </w:p>
    <w:p w14:paraId="23925367">
      <w:pPr>
        <w:pStyle w:val="1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无线优化：每季度进行一次无线信号覆盖检测和调优，处理AP间干扰，优化漫游切换体验，保障</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rPr>
        <w:t>业务的流畅性。</w:t>
      </w:r>
    </w:p>
    <w:p w14:paraId="764A8872">
      <w:pPr>
        <w:pStyle w:val="10"/>
        <w:spacing w:line="360" w:lineRule="auto"/>
        <w:ind w:firstLine="480" w:firstLineChars="200"/>
        <w:jc w:val="left"/>
        <w:rPr>
          <w:rFonts w:hint="eastAsia" w:ascii="宋体" w:hAnsi="宋体" w:eastAsia="宋体" w:cs="宋体"/>
          <w:b w:val="0"/>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网络安全管理</w:t>
      </w:r>
    </w:p>
    <w:p w14:paraId="56B1414C">
      <w:pPr>
        <w:pStyle w:val="1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策略维护：协助信息</w:t>
      </w:r>
      <w:r>
        <w:rPr>
          <w:rFonts w:hint="eastAsia" w:ascii="宋体" w:hAnsi="宋体" w:eastAsia="宋体" w:cs="宋体"/>
          <w:sz w:val="24"/>
          <w:szCs w:val="24"/>
          <w:lang w:val="en-US" w:eastAsia="zh-CN"/>
        </w:rPr>
        <w:t>中</w:t>
      </w:r>
      <w:r>
        <w:rPr>
          <w:rFonts w:hint="eastAsia" w:ascii="宋体" w:hAnsi="宋体" w:eastAsia="宋体" w:cs="宋体"/>
          <w:sz w:val="24"/>
          <w:szCs w:val="24"/>
        </w:rPr>
        <w:t>维护防火墙、上网行为管理等设备的策略，遵循最小权限原则。</w:t>
      </w:r>
    </w:p>
    <w:p w14:paraId="0470B318">
      <w:pPr>
        <w:pStyle w:val="1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漏洞管理：每季度配合进行内部漏洞扫描，对网络设备自身存在的安全漏洞进行升级或加固。</w:t>
      </w:r>
    </w:p>
    <w:p w14:paraId="58017A09">
      <w:pPr>
        <w:pStyle w:val="1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攻击防范：协助分析异常流量日志，发现并阻断内网病毒传播、ARP攻击、私接路由等行为。</w:t>
      </w:r>
    </w:p>
    <w:p w14:paraId="41F97305">
      <w:pPr>
        <w:pStyle w:val="1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等保配合：配合医院进行每年的网络安全等级保护测评工作，提供所需的技术资料和整改支持。</w:t>
      </w:r>
    </w:p>
    <w:p w14:paraId="042A9792">
      <w:pPr>
        <w:pStyle w:val="1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服务交付与文档管理</w:t>
      </w:r>
    </w:p>
    <w:p w14:paraId="570214FB">
      <w:pPr>
        <w:pStyle w:val="10"/>
        <w:numPr>
          <w:ilvl w:val="0"/>
          <w:numId w:val="0"/>
        </w:numPr>
        <w:spacing w:line="360" w:lineRule="auto"/>
        <w:ind w:firstLine="480" w:firstLineChars="200"/>
        <w:rPr>
          <w:rFonts w:hint="eastAsia" w:ascii="宋体" w:hAnsi="宋体" w:eastAsia="宋体" w:cs="宋体"/>
          <w:b w:val="0"/>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资产台账：建立并动态更新网络设备资产清单（包含设备型号、SN号、维保状态、IP地址、位置）。</w:t>
      </w:r>
    </w:p>
    <w:p w14:paraId="3F2E415F">
      <w:pPr>
        <w:pStyle w:val="10"/>
        <w:numPr>
          <w:ilvl w:val="0"/>
          <w:numId w:val="0"/>
        </w:numPr>
        <w:spacing w:line="360" w:lineRule="auto"/>
        <w:ind w:firstLine="480" w:firstLineChars="200"/>
        <w:rPr>
          <w:rFonts w:hint="eastAsia" w:ascii="宋体" w:hAnsi="宋体" w:eastAsia="宋体" w:cs="宋体"/>
          <w:b w:val="0"/>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拓扑图维护：服务开始后1个月内提供准确的物理拓扑与逻辑拓扑图，</w:t>
      </w:r>
      <w:r>
        <w:rPr>
          <w:rFonts w:hint="eastAsia" w:ascii="宋体" w:hAnsi="宋体" w:eastAsia="宋体" w:cs="宋体"/>
          <w:sz w:val="24"/>
          <w:szCs w:val="24"/>
          <w:lang w:val="en-US" w:eastAsia="zh-CN"/>
        </w:rPr>
        <w:t>服务期内</w:t>
      </w:r>
      <w:r>
        <w:rPr>
          <w:rFonts w:hint="eastAsia" w:ascii="宋体" w:hAnsi="宋体" w:eastAsia="宋体" w:cs="宋体"/>
          <w:sz w:val="24"/>
          <w:szCs w:val="24"/>
        </w:rPr>
        <w:t>若有变更需在7个工作日内更新图纸。</w:t>
      </w:r>
    </w:p>
    <w:p w14:paraId="5D094A5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服务报告：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月度报告：包括设备运行情况、故障统计与分析、流量趋势图、重点工作内容</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在次月10日前将月度报告提交至信息中心</w:t>
      </w:r>
      <w:r>
        <w:rPr>
          <w:rFonts w:hint="eastAsia" w:ascii="宋体" w:hAnsi="宋体" w:eastAsia="宋体" w:cs="宋体"/>
          <w:sz w:val="24"/>
          <w:szCs w:val="24"/>
        </w:rPr>
        <w:t>。</w:t>
      </w:r>
    </w:p>
    <w:p w14:paraId="14644387">
      <w:pPr>
        <w:pStyle w:val="10"/>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季度</w:t>
      </w:r>
      <w:r>
        <w:rPr>
          <w:rFonts w:hint="eastAsia" w:ascii="宋体" w:hAnsi="宋体" w:eastAsia="宋体" w:cs="宋体"/>
          <w:sz w:val="24"/>
          <w:szCs w:val="24"/>
        </w:rPr>
        <w:t>总结：</w:t>
      </w:r>
      <w:r>
        <w:rPr>
          <w:rFonts w:hint="eastAsia" w:ascii="宋体" w:hAnsi="宋体" w:eastAsia="宋体" w:cs="宋体"/>
          <w:sz w:val="24"/>
          <w:szCs w:val="24"/>
          <w:lang w:val="en-US" w:eastAsia="zh-CN"/>
        </w:rPr>
        <w:t>每季度</w:t>
      </w:r>
      <w:r>
        <w:rPr>
          <w:rFonts w:hint="eastAsia" w:ascii="宋体" w:hAnsi="宋体" w:eastAsia="宋体" w:cs="宋体"/>
          <w:sz w:val="24"/>
          <w:szCs w:val="24"/>
        </w:rPr>
        <w:t>运行状况分析、重大故障复盘、下一</w:t>
      </w:r>
      <w:r>
        <w:rPr>
          <w:rFonts w:hint="eastAsia" w:ascii="宋体" w:hAnsi="宋体" w:eastAsia="宋体" w:cs="宋体"/>
          <w:sz w:val="24"/>
          <w:szCs w:val="24"/>
          <w:lang w:val="en-US" w:eastAsia="zh-CN"/>
        </w:rPr>
        <w:t>季度</w:t>
      </w:r>
      <w:r>
        <w:rPr>
          <w:rFonts w:hint="eastAsia" w:ascii="宋体" w:hAnsi="宋体" w:eastAsia="宋体" w:cs="宋体"/>
          <w:sz w:val="24"/>
          <w:szCs w:val="24"/>
        </w:rPr>
        <w:t>网络优化建议</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在次季度首月10日前将</w:t>
      </w:r>
      <w:r>
        <w:rPr>
          <w:rFonts w:hint="eastAsia" w:ascii="宋体" w:hAnsi="宋体" w:eastAsia="宋体" w:cs="宋体"/>
          <w:sz w:val="24"/>
          <w:szCs w:val="24"/>
          <w:lang w:val="en-US" w:eastAsia="zh-CN"/>
        </w:rPr>
        <w:t>季度</w:t>
      </w:r>
      <w:r>
        <w:rPr>
          <w:rFonts w:hint="eastAsia" w:ascii="宋体" w:hAnsi="宋体" w:eastAsia="宋体" w:cs="宋体"/>
          <w:sz w:val="24"/>
          <w:szCs w:val="24"/>
        </w:rPr>
        <w:t>总结</w:t>
      </w:r>
      <w:r>
        <w:rPr>
          <w:rFonts w:hint="eastAsia" w:ascii="宋体" w:hAnsi="宋体" w:eastAsia="宋体" w:cs="宋体"/>
          <w:sz w:val="24"/>
          <w:szCs w:val="24"/>
          <w:highlight w:val="none"/>
          <w:lang w:val="en-US" w:eastAsia="zh-CN"/>
        </w:rPr>
        <w:t>提交至信息中心</w:t>
      </w:r>
      <w:r>
        <w:rPr>
          <w:rFonts w:hint="eastAsia" w:ascii="宋体" w:hAnsi="宋体" w:eastAsia="宋体" w:cs="宋体"/>
          <w:sz w:val="24"/>
          <w:szCs w:val="24"/>
        </w:rPr>
        <w:t>。</w:t>
      </w:r>
    </w:p>
    <w:p w14:paraId="6EA57C5D">
      <w:pPr>
        <w:pStyle w:val="10"/>
        <w:numPr>
          <w:ilvl w:val="0"/>
          <w:numId w:val="0"/>
        </w:numPr>
        <w:spacing w:line="360" w:lineRule="auto"/>
        <w:ind w:left="480" w:leftChars="0"/>
        <w:rPr>
          <w:rFonts w:hint="eastAsia" w:ascii="宋体" w:hAnsi="宋体" w:eastAsia="宋体" w:cs="宋体"/>
          <w:b/>
          <w:bCs/>
          <w:sz w:val="24"/>
          <w:szCs w:val="24"/>
        </w:rPr>
      </w:pPr>
      <w:r>
        <w:rPr>
          <w:rFonts w:hint="eastAsia" w:ascii="宋体" w:hAnsi="宋体" w:eastAsia="宋体" w:cs="宋体"/>
          <w:b/>
          <w:bCs w:val="0"/>
          <w:sz w:val="24"/>
          <w:szCs w:val="24"/>
          <w:lang w:val="en-US" w:eastAsia="zh-CN"/>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考核条款</w:t>
      </w:r>
    </w:p>
    <w:p w14:paraId="32E4D8D8">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服务考核：设立月度考核机制（满分100分）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与付款方式挂钩</w:t>
      </w:r>
      <w:r>
        <w:rPr>
          <w:rFonts w:hint="eastAsia" w:ascii="宋体" w:hAnsi="宋体" w:eastAsia="宋体" w:cs="宋体"/>
          <w:sz w:val="24"/>
          <w:szCs w:val="24"/>
        </w:rPr>
        <w:t>。</w:t>
      </w:r>
    </w:p>
    <w:p w14:paraId="60752E4B">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人员配置不达标（如未经同意擅自更换驻场工程师、工程师请假导致空岗）：每次扣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6CE109E9">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故障处理超时：每次扣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06AC4E15">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因运维不当导致业务中断：每次扣</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1461A1B8">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文档缺失或不符：每次扣</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422A8F63">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人员变更约束：合同期内，中标方如需更换驻场工程师，须提前1个月书面通知院方，且新进人员</w:t>
      </w:r>
      <w:r>
        <w:rPr>
          <w:rFonts w:hint="eastAsia" w:ascii="宋体" w:hAnsi="宋体" w:eastAsia="宋体" w:cs="宋体"/>
          <w:sz w:val="24"/>
          <w:szCs w:val="24"/>
          <w:lang w:eastAsia="zh-CN"/>
        </w:rPr>
        <w:t>须</w:t>
      </w:r>
      <w:r>
        <w:rPr>
          <w:rFonts w:hint="eastAsia" w:ascii="宋体" w:hAnsi="宋体" w:eastAsia="宋体" w:cs="宋体"/>
          <w:sz w:val="24"/>
          <w:szCs w:val="24"/>
        </w:rPr>
        <w:t>经院方面试考核合格后方可上岗。</w:t>
      </w:r>
    </w:p>
    <w:p w14:paraId="06B972A3">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二、商务要求</w:t>
      </w:r>
    </w:p>
    <w:p w14:paraId="0FE6D963">
      <w:pPr>
        <w:spacing w:line="360" w:lineRule="auto"/>
        <w:rPr>
          <w:rFonts w:hint="eastAsia" w:ascii="宋体" w:hAnsi="宋体" w:eastAsia="宋体" w:cs="宋体"/>
          <w:b/>
          <w:sz w:val="24"/>
          <w:szCs w:val="24"/>
        </w:rPr>
      </w:pPr>
      <w:r>
        <w:rPr>
          <w:rFonts w:hint="eastAsia" w:ascii="宋体" w:hAnsi="宋体" w:eastAsia="宋体" w:cs="宋体"/>
          <w:b/>
          <w:bCs/>
          <w:color w:val="000000"/>
          <w:kern w:val="44"/>
          <w:sz w:val="24"/>
          <w:szCs w:val="24"/>
          <w:lang w:eastAsia="zh-CN"/>
        </w:rPr>
        <w:t>1.</w:t>
      </w:r>
      <w:r>
        <w:rPr>
          <w:rFonts w:hint="eastAsia" w:ascii="宋体" w:hAnsi="宋体" w:eastAsia="宋体" w:cs="宋体"/>
          <w:b/>
          <w:sz w:val="24"/>
          <w:szCs w:val="24"/>
        </w:rPr>
        <w:t>特定资格：无。</w:t>
      </w:r>
    </w:p>
    <w:p w14:paraId="73A4CD34">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2.服务</w:t>
      </w:r>
      <w:r>
        <w:rPr>
          <w:rFonts w:hint="eastAsia" w:ascii="宋体" w:hAnsi="宋体" w:eastAsia="宋体" w:cs="宋体"/>
          <w:b/>
          <w:sz w:val="24"/>
          <w:szCs w:val="24"/>
        </w:rPr>
        <w:t>期限：</w:t>
      </w:r>
      <w:r>
        <w:rPr>
          <w:rFonts w:hint="eastAsia" w:ascii="宋体" w:hAnsi="宋体" w:eastAsia="宋体" w:cs="宋体"/>
          <w:b/>
          <w:sz w:val="24"/>
          <w:szCs w:val="24"/>
          <w:lang w:val="en-US" w:eastAsia="zh-CN"/>
        </w:rPr>
        <w:t>合同签订之日起，服务期壹年。</w:t>
      </w:r>
    </w:p>
    <w:p w14:paraId="6C3C2426">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付款方式：</w:t>
      </w:r>
    </w:p>
    <w:p w14:paraId="54D728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按</w:t>
      </w:r>
      <w:r>
        <w:rPr>
          <w:rFonts w:hint="eastAsia" w:ascii="宋体" w:hAnsi="宋体" w:eastAsia="宋体" w:cs="宋体"/>
          <w:sz w:val="24"/>
          <w:szCs w:val="24"/>
          <w:lang w:val="en-US" w:eastAsia="zh-CN"/>
        </w:rPr>
        <w:t>季度</w:t>
      </w:r>
      <w:r>
        <w:rPr>
          <w:rFonts w:hint="eastAsia" w:ascii="宋体" w:hAnsi="宋体" w:eastAsia="宋体" w:cs="宋体"/>
          <w:sz w:val="24"/>
          <w:szCs w:val="24"/>
          <w:lang w:eastAsia="zh-CN"/>
        </w:rPr>
        <w:t>支付服务费。</w:t>
      </w:r>
      <w:r>
        <w:rPr>
          <w:rFonts w:hint="eastAsia" w:ascii="宋体" w:hAnsi="宋体" w:eastAsia="宋体" w:cs="宋体"/>
          <w:sz w:val="24"/>
          <w:szCs w:val="24"/>
        </w:rPr>
        <w:t>双方签订合同后，如</w:t>
      </w:r>
      <w:r>
        <w:rPr>
          <w:rFonts w:hint="eastAsia" w:ascii="宋体" w:hAnsi="宋体" w:eastAsia="宋体" w:cs="宋体"/>
          <w:sz w:val="24"/>
          <w:szCs w:val="24"/>
          <w:lang w:eastAsia="zh-CN"/>
        </w:rPr>
        <w:t>供方</w:t>
      </w:r>
      <w:r>
        <w:rPr>
          <w:rFonts w:hint="eastAsia" w:ascii="宋体" w:hAnsi="宋体" w:eastAsia="宋体" w:cs="宋体"/>
          <w:sz w:val="24"/>
          <w:szCs w:val="24"/>
        </w:rPr>
        <w:t>服务符合合同要求，确认合同条款及服务承诺、培训、维修、巡检等执行无误，收到供方开具的国家正规发票后，需方予以支付当</w:t>
      </w:r>
      <w:r>
        <w:rPr>
          <w:rFonts w:hint="eastAsia" w:ascii="宋体" w:hAnsi="宋体" w:eastAsia="宋体" w:cs="宋体"/>
          <w:sz w:val="24"/>
          <w:szCs w:val="24"/>
          <w:lang w:val="en-US" w:eastAsia="zh-CN"/>
        </w:rPr>
        <w:t>季度</w:t>
      </w:r>
      <w:r>
        <w:rPr>
          <w:rFonts w:hint="eastAsia" w:ascii="宋体" w:hAnsi="宋体" w:eastAsia="宋体" w:cs="宋体"/>
          <w:sz w:val="24"/>
          <w:szCs w:val="24"/>
        </w:rPr>
        <w:t>服务费。支付金额与考核得分挂钩（得分≥90分全额支付；80</w:t>
      </w:r>
      <w:r>
        <w:rPr>
          <w:rFonts w:hint="eastAsia" w:ascii="宋体" w:hAnsi="宋体" w:eastAsia="宋体" w:cs="宋体"/>
          <w:sz w:val="24"/>
          <w:szCs w:val="24"/>
          <w:lang w:eastAsia="zh-CN"/>
        </w:rPr>
        <w:t>—</w:t>
      </w:r>
      <w:r>
        <w:rPr>
          <w:rFonts w:hint="eastAsia" w:ascii="宋体" w:hAnsi="宋体" w:eastAsia="宋体" w:cs="宋体"/>
          <w:sz w:val="24"/>
          <w:szCs w:val="24"/>
        </w:rPr>
        <w:t>89分支付95%；低于80分需整改</w:t>
      </w:r>
      <w:r>
        <w:rPr>
          <w:rFonts w:hint="eastAsia" w:ascii="宋体" w:hAnsi="宋体" w:eastAsia="宋体" w:cs="宋体"/>
          <w:sz w:val="24"/>
          <w:szCs w:val="24"/>
          <w:lang w:val="en-US" w:eastAsia="zh-CN"/>
        </w:rPr>
        <w:t>后再支付</w:t>
      </w:r>
      <w:r>
        <w:rPr>
          <w:rFonts w:hint="eastAsia" w:ascii="宋体" w:hAnsi="宋体" w:eastAsia="宋体" w:cs="宋体"/>
          <w:sz w:val="24"/>
          <w:szCs w:val="24"/>
        </w:rPr>
        <w:t>9</w:t>
      </w:r>
      <w:r>
        <w:rPr>
          <w:rFonts w:hint="eastAsia" w:ascii="宋体" w:hAnsi="宋体" w:eastAsia="宋体" w:cs="宋体"/>
          <w:sz w:val="24"/>
          <w:szCs w:val="24"/>
          <w:lang w:val="en-US" w:eastAsia="zh-CN"/>
        </w:rPr>
        <w:t>0</w:t>
      </w:r>
      <w:r>
        <w:rPr>
          <w:rFonts w:hint="eastAsia" w:ascii="宋体" w:hAnsi="宋体" w:eastAsia="宋体" w:cs="宋体"/>
          <w:sz w:val="24"/>
          <w:szCs w:val="24"/>
        </w:rPr>
        <w:t>%）。</w:t>
      </w:r>
    </w:p>
    <w:p w14:paraId="0B45EB16">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供方</w:t>
      </w:r>
      <w:r>
        <w:rPr>
          <w:rFonts w:hint="eastAsia" w:ascii="宋体" w:hAnsi="宋体" w:eastAsia="宋体" w:cs="宋体"/>
          <w:b/>
          <w:bCs/>
          <w:sz w:val="24"/>
          <w:szCs w:val="24"/>
        </w:rPr>
        <w:t>违约责任：</w:t>
      </w:r>
      <w:r>
        <w:rPr>
          <w:rFonts w:hint="eastAsia" w:ascii="宋体" w:hAnsi="宋体" w:eastAsia="宋体" w:cs="宋体"/>
          <w:sz w:val="24"/>
          <w:szCs w:val="24"/>
        </w:rPr>
        <w:t xml:space="preserve"> </w:t>
      </w:r>
    </w:p>
    <w:p w14:paraId="17E5F9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lang w:eastAsia="zh-CN"/>
        </w:rPr>
        <w:t>供方</w:t>
      </w:r>
      <w:r>
        <w:rPr>
          <w:rFonts w:hint="eastAsia" w:ascii="宋体" w:hAnsi="宋体" w:eastAsia="宋体" w:cs="宋体"/>
          <w:sz w:val="24"/>
          <w:szCs w:val="24"/>
        </w:rPr>
        <w:t>提供服务不符合合同约定，负责返工或提供补救措施，但</w:t>
      </w:r>
      <w:r>
        <w:rPr>
          <w:rFonts w:hint="eastAsia" w:ascii="宋体" w:hAnsi="宋体" w:eastAsia="宋体" w:cs="宋体"/>
          <w:sz w:val="24"/>
          <w:szCs w:val="24"/>
          <w:lang w:eastAsia="zh-CN"/>
        </w:rPr>
        <w:t>需方</w:t>
      </w:r>
      <w:r>
        <w:rPr>
          <w:rFonts w:hint="eastAsia" w:ascii="宋体" w:hAnsi="宋体" w:eastAsia="宋体" w:cs="宋体"/>
          <w:sz w:val="24"/>
          <w:szCs w:val="24"/>
        </w:rPr>
        <w:t>使用、保管不当造成设备损坏或由于</w:t>
      </w:r>
      <w:r>
        <w:rPr>
          <w:rFonts w:hint="eastAsia" w:ascii="宋体" w:hAnsi="宋体" w:eastAsia="宋体" w:cs="宋体"/>
          <w:sz w:val="24"/>
          <w:szCs w:val="24"/>
          <w:lang w:eastAsia="zh-CN"/>
        </w:rPr>
        <w:t>需方</w:t>
      </w:r>
      <w:r>
        <w:rPr>
          <w:rFonts w:hint="eastAsia" w:ascii="宋体" w:hAnsi="宋体" w:eastAsia="宋体" w:cs="宋体"/>
          <w:sz w:val="24"/>
          <w:szCs w:val="24"/>
        </w:rPr>
        <w:t>原因造成缺陷的除外。</w:t>
      </w:r>
    </w:p>
    <w:p w14:paraId="3D70637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7.2供方未按照合同约定完成定期巡检服务并及时提交巡检记录，每出现一次，视为该段时间未完成巡检，需方扣除</w:t>
      </w:r>
      <w:bookmarkStart w:id="1" w:name="OLE_LINK7"/>
      <w:r>
        <w:rPr>
          <w:rFonts w:hint="eastAsia" w:ascii="宋体" w:hAnsi="宋体" w:eastAsia="宋体" w:cs="宋体"/>
          <w:sz w:val="24"/>
          <w:szCs w:val="24"/>
          <w:lang w:val="en-US" w:eastAsia="zh-CN"/>
        </w:rPr>
        <w:t>当年应付款</w:t>
      </w:r>
      <w:bookmarkEnd w:id="1"/>
      <w:r>
        <w:rPr>
          <w:rFonts w:hint="eastAsia" w:ascii="宋体" w:hAnsi="宋体" w:eastAsia="宋体" w:cs="宋体"/>
          <w:sz w:val="24"/>
          <w:szCs w:val="24"/>
          <w:lang w:val="en-US" w:eastAsia="zh-CN"/>
        </w:rPr>
        <w:t xml:space="preserve">的8.5%（百分之八点五）。   </w:t>
      </w:r>
    </w:p>
    <w:p w14:paraId="0C4988B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7.3供方未在15分钟内完成呼叫响应服务，需方每次扣除当年应付款的5</w:t>
      </w:r>
      <w:r>
        <w:rPr>
          <w:rFonts w:hint="eastAsia" w:ascii="宋体" w:hAnsi="宋体" w:eastAsia="宋体" w:cs="宋体"/>
          <w:sz w:val="24"/>
          <w:szCs w:val="24"/>
        </w:rPr>
        <w:t>‰（千分之</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w:t>
      </w:r>
    </w:p>
    <w:p w14:paraId="25C2B0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lang w:eastAsia="zh-CN"/>
        </w:rPr>
        <w:t>供方</w:t>
      </w:r>
      <w:r>
        <w:rPr>
          <w:rFonts w:hint="eastAsia" w:ascii="宋体" w:hAnsi="宋体" w:eastAsia="宋体" w:cs="宋体"/>
          <w:sz w:val="24"/>
          <w:szCs w:val="24"/>
        </w:rPr>
        <w:t>未按</w:t>
      </w:r>
      <w:r>
        <w:rPr>
          <w:rFonts w:hint="eastAsia" w:ascii="宋体" w:hAnsi="宋体" w:eastAsia="宋体" w:cs="宋体"/>
          <w:sz w:val="24"/>
          <w:szCs w:val="24"/>
          <w:lang w:eastAsia="zh-CN"/>
        </w:rPr>
        <w:t>需方</w:t>
      </w:r>
      <w:r>
        <w:rPr>
          <w:rFonts w:hint="eastAsia" w:ascii="宋体" w:hAnsi="宋体" w:eastAsia="宋体" w:cs="宋体"/>
          <w:sz w:val="24"/>
          <w:szCs w:val="24"/>
        </w:rPr>
        <w:t>要求的工作时间提供驻场服务的，每次应向</w:t>
      </w:r>
      <w:r>
        <w:rPr>
          <w:rFonts w:hint="eastAsia" w:ascii="宋体" w:hAnsi="宋体" w:eastAsia="宋体" w:cs="宋体"/>
          <w:sz w:val="24"/>
          <w:szCs w:val="24"/>
          <w:lang w:eastAsia="zh-CN"/>
        </w:rPr>
        <w:t>需方</w:t>
      </w:r>
      <w:r>
        <w:rPr>
          <w:rFonts w:hint="eastAsia" w:ascii="宋体" w:hAnsi="宋体" w:eastAsia="宋体" w:cs="宋体"/>
          <w:sz w:val="24"/>
          <w:szCs w:val="24"/>
        </w:rPr>
        <w:t>支付合同总金额3‰（千分之三）的违约金。</w:t>
      </w:r>
    </w:p>
    <w:p w14:paraId="7D27B560">
      <w:pPr>
        <w:rPr>
          <w:sz w:val="24"/>
          <w:szCs w:val="24"/>
        </w:rPr>
      </w:pPr>
    </w:p>
    <w:p w14:paraId="084111AA">
      <w:pPr>
        <w:pStyle w:val="151"/>
        <w:spacing w:line="360" w:lineRule="auto"/>
        <w:ind w:left="0" w:leftChars="0" w:firstLine="0" w:firstLineChars="0"/>
        <w:rPr>
          <w:rFonts w:hint="eastAsia" w:ascii="宋体" w:hAnsi="宋体" w:eastAsia="宋体" w:cs="宋体"/>
          <w:b/>
          <w:bCs w:val="0"/>
          <w:color w:val="C00000"/>
          <w:sz w:val="36"/>
          <w:szCs w:val="36"/>
          <w:lang w:val="en-US" w:eastAsia="zh-CN"/>
        </w:rPr>
      </w:pPr>
    </w:p>
    <w:p w14:paraId="2CA33C52">
      <w:pPr>
        <w:rPr>
          <w:color w:val="376092" w:themeColor="accent1" w:themeShade="BF"/>
          <w:sz w:val="24"/>
          <w:szCs w:val="24"/>
        </w:rPr>
      </w:pPr>
    </w:p>
    <w:p w14:paraId="437FAFA7">
      <w:pPr>
        <w:rPr>
          <w:color w:val="376092" w:themeColor="accent1" w:themeShade="BF"/>
          <w:sz w:val="24"/>
          <w:szCs w:val="24"/>
        </w:rPr>
      </w:pPr>
    </w:p>
    <w:p w14:paraId="059510BC">
      <w:pPr>
        <w:rPr>
          <w:color w:val="376092" w:themeColor="accent1" w:themeShade="BF"/>
          <w:sz w:val="24"/>
          <w:szCs w:val="24"/>
        </w:rPr>
      </w:pPr>
    </w:p>
    <w:p w14:paraId="596A839B">
      <w:pPr>
        <w:rPr>
          <w:rFonts w:hint="eastAsia"/>
          <w:b/>
          <w:sz w:val="32"/>
          <w:szCs w:val="32"/>
        </w:rPr>
      </w:pPr>
      <w:r>
        <w:rPr>
          <w:rFonts w:hint="eastAsia"/>
          <w:b/>
          <w:sz w:val="32"/>
          <w:szCs w:val="32"/>
        </w:rPr>
        <w:br w:type="page"/>
      </w: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6"/>
        <w:rPr>
          <w:rFonts w:hint="eastAsia"/>
        </w:rPr>
      </w:pPr>
    </w:p>
    <w:p w14:paraId="57643ED5">
      <w:pPr>
        <w:rPr>
          <w:rFonts w:hint="eastAsia"/>
        </w:rPr>
      </w:pPr>
    </w:p>
    <w:p w14:paraId="4A31B64B">
      <w:pPr>
        <w:pStyle w:val="26"/>
        <w:rPr>
          <w:rFonts w:hint="eastAsia"/>
        </w:rPr>
      </w:pPr>
    </w:p>
    <w:p w14:paraId="5F51D7AF">
      <w:pPr>
        <w:rPr>
          <w:rFonts w:hint="eastAsia"/>
        </w:rPr>
      </w:pPr>
    </w:p>
    <w:p w14:paraId="3B455305">
      <w:pPr>
        <w:pStyle w:val="26"/>
        <w:rPr>
          <w:rFonts w:hint="eastAsia"/>
        </w:rPr>
      </w:pPr>
    </w:p>
    <w:p w14:paraId="54ACCFB3">
      <w:pPr>
        <w:rPr>
          <w:rFonts w:hint="eastAsia"/>
        </w:rPr>
      </w:pPr>
    </w:p>
    <w:p w14:paraId="625DF09B">
      <w:pPr>
        <w:pStyle w:val="26"/>
        <w:rPr>
          <w:rFonts w:hint="eastAsia"/>
        </w:rPr>
      </w:pPr>
    </w:p>
    <w:p w14:paraId="7070AE07">
      <w:pPr>
        <w:rPr>
          <w:rFonts w:hint="eastAsia"/>
        </w:rPr>
      </w:pPr>
    </w:p>
    <w:p w14:paraId="4C5059FB">
      <w:pPr>
        <w:pStyle w:val="26"/>
        <w:rPr>
          <w:rFonts w:hint="eastAsia"/>
        </w:rPr>
      </w:pPr>
    </w:p>
    <w:p w14:paraId="6C6F618A">
      <w:pPr>
        <w:pStyle w:val="20"/>
        <w:spacing w:before="0" w:after="0"/>
        <w:rPr>
          <w:color w:val="auto"/>
          <w:sz w:val="28"/>
          <w:highlight w:val="none"/>
        </w:rPr>
      </w:pPr>
      <w:bookmarkStart w:id="2" w:name="_Toc24908"/>
      <w:r>
        <w:rPr>
          <w:rFonts w:hint="eastAsia"/>
          <w:color w:val="auto"/>
          <w:sz w:val="28"/>
          <w:highlight w:val="none"/>
        </w:rPr>
        <w:t>第一部分资格证明文件</w:t>
      </w:r>
      <w:bookmarkEnd w:id="2"/>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3" w:name="_Toc902"/>
      <w:bookmarkStart w:id="4"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3"/>
      <w:bookmarkEnd w:id="4"/>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8"/>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5"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5"/>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0"/>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0"/>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0"/>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0"/>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0"/>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6" w:name="_资格证明文件"/>
      <w:bookmarkEnd w:id="6"/>
      <w:bookmarkStart w:id="7" w:name="_Toc31029"/>
      <w:bookmarkStart w:id="8"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7"/>
      <w:bookmarkEnd w:id="8"/>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9" w:name="_Toc26111"/>
      <w:bookmarkStart w:id="10" w:name="_Toc11890"/>
      <w:bookmarkStart w:id="11"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9"/>
      <w:bookmarkEnd w:id="10"/>
      <w:bookmarkEnd w:id="11"/>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2" w:name="_Toc19319"/>
      <w:bookmarkStart w:id="13" w:name="_Toc569"/>
      <w:bookmarkStart w:id="14" w:name="_Toc24403"/>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2"/>
      <w:bookmarkEnd w:id="13"/>
      <w:bookmarkEnd w:id="14"/>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6"/>
      </w:pPr>
    </w:p>
    <w:p w14:paraId="7778257D"/>
    <w:p w14:paraId="79993B53">
      <w:pPr>
        <w:pStyle w:val="26"/>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5" w:name="_Toc1972"/>
      <w:bookmarkStart w:id="16" w:name="_Toc10542"/>
    </w:p>
    <w:p w14:paraId="11FCB31D">
      <w:pPr>
        <w:pStyle w:val="4"/>
        <w:spacing w:before="0" w:after="0"/>
        <w:jc w:val="center"/>
        <w:rPr>
          <w:color w:val="auto"/>
          <w:sz w:val="28"/>
          <w:szCs w:val="28"/>
          <w:highlight w:val="none"/>
        </w:rPr>
      </w:pPr>
      <w:bookmarkStart w:id="17" w:name="_Toc32290"/>
      <w:r>
        <w:rPr>
          <w:rFonts w:hint="eastAsia"/>
          <w:color w:val="auto"/>
          <w:sz w:val="28"/>
          <w:szCs w:val="28"/>
          <w:highlight w:val="none"/>
        </w:rPr>
        <w:t>五、有依法缴纳税收和社会保障资金的良好记录</w:t>
      </w:r>
      <w:bookmarkEnd w:id="15"/>
      <w:bookmarkEnd w:id="16"/>
      <w:bookmarkEnd w:id="17"/>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8" w:name="_Toc32668"/>
      <w:bookmarkStart w:id="19" w:name="_Toc31728"/>
      <w:bookmarkStart w:id="20" w:name="_Toc8953"/>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8"/>
      <w:bookmarkEnd w:id="19"/>
      <w:bookmarkEnd w:id="20"/>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6"/>
      </w:pPr>
    </w:p>
    <w:p w14:paraId="2F61A676"/>
    <w:p w14:paraId="2719E15B">
      <w:pPr>
        <w:pStyle w:val="26"/>
      </w:pPr>
    </w:p>
    <w:p w14:paraId="0193E053"/>
    <w:p w14:paraId="60308629">
      <w:pPr>
        <w:pStyle w:val="26"/>
      </w:pPr>
    </w:p>
    <w:p w14:paraId="2CF0EC85"/>
    <w:p w14:paraId="5F2B7D70">
      <w:pPr>
        <w:pStyle w:val="26"/>
      </w:pPr>
    </w:p>
    <w:p w14:paraId="52E3042F"/>
    <w:p w14:paraId="368E6380">
      <w:pPr>
        <w:pStyle w:val="10"/>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1" w:name="_Toc925"/>
      <w:r>
        <w:rPr>
          <w:rFonts w:hint="eastAsia"/>
          <w:color w:val="auto"/>
          <w:sz w:val="24"/>
          <w:highlight w:val="none"/>
        </w:rPr>
        <w:br w:type="page"/>
      </w:r>
      <w:bookmarkEnd w:id="21"/>
      <w:bookmarkStart w:id="22" w:name="_Toc28112"/>
      <w:bookmarkStart w:id="23" w:name="_Toc11219"/>
      <w:bookmarkStart w:id="24"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36"/>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2"/>
      <w:bookmarkEnd w:id="23"/>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4"/>
    <w:p w14:paraId="6D8B67AE">
      <w:pPr>
        <w:bidi w:val="0"/>
        <w:rPr>
          <w:rFonts w:hint="eastAsia"/>
          <w:lang w:eastAsia="zh-CN"/>
        </w:rPr>
      </w:pPr>
      <w:bookmarkStart w:id="25"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36"/>
        <w:rPr>
          <w:rFonts w:hint="eastAsia"/>
          <w:lang w:eastAsia="zh-CN"/>
        </w:rPr>
      </w:pPr>
    </w:p>
    <w:p w14:paraId="3D815568">
      <w:pPr>
        <w:pStyle w:val="4"/>
        <w:spacing w:before="0" w:after="0"/>
        <w:jc w:val="center"/>
        <w:rPr>
          <w:rFonts w:hint="eastAsia"/>
          <w:color w:val="auto"/>
          <w:sz w:val="28"/>
          <w:szCs w:val="36"/>
          <w:highlight w:val="none"/>
          <w:lang w:eastAsia="zh-CN"/>
        </w:rPr>
      </w:pPr>
      <w:bookmarkStart w:id="26" w:name="_Toc3305"/>
      <w:r>
        <w:rPr>
          <w:rFonts w:hint="eastAsia"/>
          <w:color w:val="auto"/>
          <w:sz w:val="28"/>
          <w:szCs w:val="36"/>
          <w:highlight w:val="none"/>
          <w:lang w:eastAsia="zh-CN"/>
        </w:rPr>
        <w:t>九、无关联关系声明</w:t>
      </w:r>
      <w:bookmarkEnd w:id="25"/>
      <w:bookmarkEnd w:id="26"/>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6"/>
        <w:rPr>
          <w:sz w:val="24"/>
          <w:szCs w:val="24"/>
        </w:rPr>
      </w:pPr>
    </w:p>
    <w:p w14:paraId="4C9D23A3">
      <w:pPr>
        <w:rPr>
          <w:sz w:val="24"/>
          <w:szCs w:val="24"/>
        </w:rPr>
      </w:pPr>
    </w:p>
    <w:p w14:paraId="2600D314">
      <w:pPr>
        <w:pStyle w:val="26"/>
        <w:rPr>
          <w:sz w:val="24"/>
          <w:szCs w:val="24"/>
        </w:rPr>
      </w:pPr>
    </w:p>
    <w:p w14:paraId="0D39C411">
      <w:pPr>
        <w:rPr>
          <w:sz w:val="24"/>
          <w:szCs w:val="24"/>
        </w:rPr>
      </w:pPr>
    </w:p>
    <w:p w14:paraId="6C29AA19">
      <w:pPr>
        <w:pStyle w:val="26"/>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0"/>
        <w:rPr>
          <w:color w:val="auto"/>
          <w:sz w:val="28"/>
          <w:highlight w:val="none"/>
        </w:rPr>
      </w:pPr>
      <w:bookmarkStart w:id="27" w:name="_Toc29119"/>
      <w:r>
        <w:rPr>
          <w:rFonts w:hint="eastAsia"/>
          <w:color w:val="auto"/>
          <w:sz w:val="28"/>
          <w:highlight w:val="none"/>
        </w:rPr>
        <w:t>第二部分商务、技术文件</w:t>
      </w:r>
      <w:bookmarkEnd w:id="27"/>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8"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8"/>
      <w:r>
        <w:rPr>
          <w:rFonts w:hint="eastAsia"/>
          <w:color w:val="auto"/>
          <w:sz w:val="28"/>
          <w:highlight w:val="none"/>
          <w:lang w:eastAsia="zh-CN"/>
        </w:rPr>
        <w:t>一览表（</w:t>
      </w:r>
      <w:r>
        <w:rPr>
          <w:rFonts w:hint="eastAsia"/>
          <w:color w:val="auto"/>
          <w:sz w:val="28"/>
          <w:highlight w:val="none"/>
          <w:lang w:val="en-US" w:eastAsia="zh-CN"/>
        </w:rPr>
        <w:t>标段一</w:t>
      </w:r>
      <w:r>
        <w:rPr>
          <w:rFonts w:hint="eastAsia"/>
          <w:color w:val="auto"/>
          <w:sz w:val="28"/>
          <w:highlight w:val="none"/>
          <w:lang w:eastAsia="zh-CN"/>
        </w:rPr>
        <w:t>）</w:t>
      </w:r>
    </w:p>
    <w:p w14:paraId="78C961C1">
      <w:pPr>
        <w:pStyle w:val="7"/>
        <w:spacing w:line="360" w:lineRule="auto"/>
        <w:ind w:firstLine="240" w:firstLineChars="100"/>
        <w:rPr>
          <w:rFonts w:hint="eastAsia" w:ascii="宋体" w:hAnsi="宋体"/>
          <w:bCs/>
          <w:sz w:val="24"/>
          <w:szCs w:val="24"/>
        </w:rPr>
      </w:pPr>
    </w:p>
    <w:p w14:paraId="2600FBBB">
      <w:pPr>
        <w:pStyle w:val="7"/>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7"/>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8"/>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报价</w:t>
            </w:r>
          </w:p>
        </w:tc>
        <w:tc>
          <w:tcPr>
            <w:tcW w:w="6780" w:type="dxa"/>
            <w:vAlign w:val="center"/>
          </w:tcPr>
          <w:p w14:paraId="009866BF">
            <w:pPr>
              <w:tabs>
                <w:tab w:val="left" w:pos="926"/>
                <w:tab w:val="left" w:pos="4335"/>
                <w:tab w:val="left" w:pos="4515"/>
                <w:tab w:val="left" w:pos="7227"/>
              </w:tabs>
              <w:ind w:firstLine="210" w:firstLineChars="100"/>
              <w:jc w:val="left"/>
              <w:rPr>
                <w:rFonts w:hint="eastAsia"/>
                <w:lang w:eastAsia="zh-CN"/>
              </w:rPr>
            </w:pP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bookmarkStart w:id="54" w:name="_GoBack"/>
            <w:bookmarkEnd w:id="54"/>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6"/>
              <w:rPr>
                <w:highlight w:val="none"/>
              </w:rPr>
            </w:pPr>
          </w:p>
        </w:tc>
      </w:tr>
    </w:tbl>
    <w:p w14:paraId="3D06DC08">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611E3F12">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108C9E6F">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50D7EBEF">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81BA36B">
      <w:pPr>
        <w:rPr>
          <w:rFonts w:hint="eastAsia"/>
        </w:rPr>
      </w:pPr>
    </w:p>
    <w:p w14:paraId="2560A367">
      <w:pPr>
        <w:pStyle w:val="4"/>
        <w:spacing w:before="0" w:after="0"/>
        <w:jc w:val="center"/>
        <w:rPr>
          <w:color w:val="auto"/>
          <w:sz w:val="28"/>
          <w:highlight w:val="none"/>
        </w:rPr>
      </w:pPr>
      <w:bookmarkStart w:id="29" w:name="_Toc30834"/>
      <w:bookmarkStart w:id="30" w:name="_Toc21266"/>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9"/>
      <w:bookmarkEnd w:id="30"/>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5"/>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5"/>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5"/>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5"/>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5"/>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5"/>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0"/>
        <w:jc w:val="center"/>
        <w:outlineLvl w:val="1"/>
        <w:rPr>
          <w:b/>
          <w:color w:val="auto"/>
          <w:sz w:val="32"/>
          <w:szCs w:val="32"/>
        </w:rPr>
      </w:pPr>
    </w:p>
    <w:p w14:paraId="3800FBF1">
      <w:pPr>
        <w:pStyle w:val="10"/>
        <w:jc w:val="center"/>
        <w:outlineLvl w:val="1"/>
        <w:rPr>
          <w:b/>
          <w:color w:val="auto"/>
          <w:sz w:val="32"/>
          <w:szCs w:val="32"/>
        </w:rPr>
      </w:pPr>
    </w:p>
    <w:p w14:paraId="50E33DB8">
      <w:pPr>
        <w:pStyle w:val="10"/>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6"/>
        <w:rPr>
          <w:rFonts w:hint="eastAsia"/>
          <w:lang w:val="en-US" w:eastAsia="zh-CN"/>
        </w:rPr>
      </w:pPr>
    </w:p>
    <w:p w14:paraId="273B3F63">
      <w:pPr>
        <w:rPr>
          <w:rFonts w:hint="eastAsia"/>
          <w:lang w:val="en-US" w:eastAsia="zh-CN"/>
        </w:rPr>
      </w:pPr>
    </w:p>
    <w:p w14:paraId="3EB6FF68">
      <w:pPr>
        <w:pStyle w:val="26"/>
        <w:rPr>
          <w:rFonts w:hint="eastAsia"/>
          <w:lang w:val="en-US" w:eastAsia="zh-CN"/>
        </w:rPr>
      </w:pPr>
    </w:p>
    <w:p w14:paraId="72C7C170">
      <w:pPr>
        <w:rPr>
          <w:rFonts w:hint="eastAsia"/>
          <w:lang w:val="en-US" w:eastAsia="zh-CN"/>
        </w:rPr>
      </w:pPr>
    </w:p>
    <w:p w14:paraId="7FD08D24">
      <w:pPr>
        <w:pStyle w:val="26"/>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6"/>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1"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31"/>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59802D4B">
      <w:pPr>
        <w:pStyle w:val="7"/>
        <w:jc w:val="center"/>
        <w:rPr>
          <w:rFonts w:hint="eastAsia" w:ascii="宋体" w:hAnsi="宋体"/>
          <w:b/>
          <w:bCs/>
          <w:sz w:val="24"/>
          <w:szCs w:val="24"/>
        </w:rPr>
      </w:pPr>
    </w:p>
    <w:tbl>
      <w:tblPr>
        <w:tblStyle w:val="28"/>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6"/>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6"/>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7"/>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6"/>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6"/>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6"/>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6"/>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6"/>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6"/>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6"/>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6"/>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12684DFF">
      <w:pPr>
        <w:pStyle w:val="7"/>
        <w:jc w:val="center"/>
        <w:rPr>
          <w:rFonts w:hint="eastAsia" w:ascii="宋体" w:hAnsi="宋体"/>
          <w:b/>
          <w:bCs/>
          <w:sz w:val="24"/>
          <w:szCs w:val="24"/>
        </w:rPr>
      </w:pPr>
    </w:p>
    <w:tbl>
      <w:tblPr>
        <w:tblStyle w:val="28"/>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6"/>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7BFFB606">
      <w:pPr>
        <w:pStyle w:val="36"/>
        <w:numPr>
          <w:ilvl w:val="0"/>
          <w:numId w:val="0"/>
        </w:numPr>
        <w:rPr>
          <w:rFonts w:hint="eastAsia"/>
          <w:highlight w:val="magenta"/>
          <w:lang w:eastAsia="zh-CN"/>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6"/>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6"/>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2" w:name="_Toc23117"/>
      <w:bookmarkStart w:id="33" w:name="_Toc11982"/>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2"/>
      <w:bookmarkEnd w:id="33"/>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4" w:name="_Toc20496"/>
      <w:bookmarkStart w:id="35" w:name="_Toc2381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4"/>
      <w:bookmarkEnd w:id="35"/>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6" w:name="_Toc4948"/>
      <w:bookmarkStart w:id="37" w:name="_Toc2922"/>
      <w:bookmarkStart w:id="38" w:name="_Toc337475928"/>
      <w:bookmarkStart w:id="39" w:name="_Toc12801"/>
      <w:bookmarkStart w:id="40" w:name="_Toc320878714"/>
      <w:bookmarkStart w:id="41" w:name="_Toc349642319"/>
      <w:bookmarkStart w:id="42" w:name="_Toc304219331"/>
      <w:bookmarkStart w:id="43" w:name="_Toc15867"/>
      <w:bookmarkStart w:id="44" w:name="_Toc337554798"/>
      <w:bookmarkStart w:id="45" w:name="_Toc10750"/>
      <w:bookmarkStart w:id="46" w:name="_Toc30765"/>
      <w:bookmarkStart w:id="47" w:name="_Toc28583"/>
      <w:bookmarkStart w:id="48" w:name="_Toc29526"/>
      <w:bookmarkStart w:id="49" w:name="_Toc4599"/>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6"/>
      <w:bookmarkEnd w:id="37"/>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0" w:name="_Toc8810"/>
      <w:bookmarkStart w:id="51" w:name="_Toc7716"/>
      <w:r>
        <w:rPr>
          <w:rFonts w:hint="eastAsia"/>
          <w:sz w:val="28"/>
          <w:szCs w:val="28"/>
          <w:lang w:val="en-US" w:eastAsia="zh-CN"/>
        </w:rPr>
        <w:t>八、优惠承诺</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2" w:name="_Toc17593"/>
      <w:bookmarkStart w:id="53" w:name="_Toc11154"/>
      <w:r>
        <w:rPr>
          <w:rFonts w:hint="eastAsia"/>
          <w:sz w:val="28"/>
          <w:szCs w:val="28"/>
          <w:lang w:val="en-US" w:eastAsia="zh-CN"/>
        </w:rPr>
        <w:t>九、</w:t>
      </w:r>
      <w:bookmarkEnd w:id="52"/>
      <w:bookmarkEnd w:id="53"/>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8"/>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3ACA94BD"/>
    <w:multiLevelType w:val="singleLevel"/>
    <w:tmpl w:val="3ACA94BD"/>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FAD6FE1"/>
    <w:multiLevelType w:val="singleLevel"/>
    <w:tmpl w:val="6FAD6FE1"/>
    <w:lvl w:ilvl="0" w:tentative="0">
      <w:start w:val="3"/>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2B9425E"/>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8301BA"/>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5EC577E"/>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5A9E"/>
    <w:rsid w:val="204772EB"/>
    <w:rsid w:val="205F1871"/>
    <w:rsid w:val="207C6895"/>
    <w:rsid w:val="20B94B7A"/>
    <w:rsid w:val="213C39D7"/>
    <w:rsid w:val="21811E94"/>
    <w:rsid w:val="2196292B"/>
    <w:rsid w:val="21C470C8"/>
    <w:rsid w:val="220646A2"/>
    <w:rsid w:val="22144805"/>
    <w:rsid w:val="22323F2B"/>
    <w:rsid w:val="2274615D"/>
    <w:rsid w:val="230A6212"/>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BF25C3"/>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5754A9"/>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520C0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DED2DF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7B14E9"/>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46B02"/>
    <w:rsid w:val="5FB62778"/>
    <w:rsid w:val="5FE52B5F"/>
    <w:rsid w:val="5FF321A8"/>
    <w:rsid w:val="60D3492A"/>
    <w:rsid w:val="613D292E"/>
    <w:rsid w:val="614F7DE8"/>
    <w:rsid w:val="61550FF1"/>
    <w:rsid w:val="61D71F16"/>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1A5C42"/>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7FB40E42"/>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0"/>
    <w:autoRedefine/>
    <w:unhideWhenUsed/>
    <w:qFormat/>
    <w:uiPriority w:val="0"/>
    <w:pPr>
      <w:ind w:firstLine="420" w:firstLineChars="200"/>
    </w:pPr>
  </w:style>
  <w:style w:type="paragraph" w:styleId="8">
    <w:name w:val="annotation text"/>
    <w:basedOn w:val="1"/>
    <w:link w:val="52"/>
    <w:autoRedefine/>
    <w:qFormat/>
    <w:uiPriority w:val="0"/>
    <w:pPr>
      <w:jc w:val="left"/>
    </w:pPr>
    <w:rPr>
      <w:szCs w:val="24"/>
    </w:rPr>
  </w:style>
  <w:style w:type="paragraph" w:styleId="9">
    <w:name w:val="Body Text 3"/>
    <w:basedOn w:val="1"/>
    <w:link w:val="53"/>
    <w:autoRedefine/>
    <w:semiHidden/>
    <w:unhideWhenUsed/>
    <w:qFormat/>
    <w:uiPriority w:val="99"/>
    <w:pPr>
      <w:spacing w:after="120"/>
    </w:pPr>
    <w:rPr>
      <w:sz w:val="16"/>
      <w:szCs w:val="16"/>
    </w:rPr>
  </w:style>
  <w:style w:type="paragraph" w:styleId="10">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1">
    <w:name w:val="Body Text Indent"/>
    <w:basedOn w:val="1"/>
    <w:next w:val="12"/>
    <w:link w:val="55"/>
    <w:autoRedefine/>
    <w:semiHidden/>
    <w:unhideWhenUsed/>
    <w:qFormat/>
    <w:uiPriority w:val="99"/>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1">
    <w:name w:val="toc 2"/>
    <w:basedOn w:val="1"/>
    <w:next w:val="1"/>
    <w:autoRedefine/>
    <w:unhideWhenUsed/>
    <w:qFormat/>
    <w:uiPriority w:val="39"/>
    <w:pPr>
      <w:widowControl/>
      <w:spacing w:after="100" w:line="276" w:lineRule="auto"/>
      <w:ind w:left="220"/>
      <w:jc w:val="left"/>
    </w:pPr>
    <w:rPr>
      <w:kern w:val="0"/>
      <w:sz w:val="22"/>
    </w:rPr>
  </w:style>
  <w:style w:type="paragraph" w:styleId="22">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3">
    <w:name w:val="Body Text 2"/>
    <w:basedOn w:val="1"/>
    <w:autoRedefine/>
    <w:qFormat/>
    <w:uiPriority w:val="0"/>
    <w:pPr>
      <w:spacing w:after="120" w:afterLines="0" w:line="480" w:lineRule="auto"/>
    </w:pPr>
    <w:rPr>
      <w:rFonts w:ascii="Times New Roman" w:eastAsia="宋体"/>
    </w:rPr>
  </w:style>
  <w:style w:type="paragraph" w:styleId="24">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6">
    <w:name w:val="Body Text First Indent"/>
    <w:basedOn w:val="10"/>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7">
    <w:name w:val="Body Text First Indent 2"/>
    <w:basedOn w:val="11"/>
    <w:next w:val="1"/>
    <w:autoRedefine/>
    <w:qFormat/>
    <w:uiPriority w:val="0"/>
    <w:pPr>
      <w:ind w:firstLine="420" w:firstLineChars="200"/>
    </w:pPr>
    <w:rPr>
      <w:rFonts w:ascii="Times New Roman" w:hAnsi="Times New Roman" w:eastAsia="宋体" w:cs="Times New Roman"/>
      <w:szCs w:val="2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22"/>
    <w:rPr>
      <w:b/>
      <w:bCs/>
    </w:rPr>
  </w:style>
  <w:style w:type="character" w:styleId="32">
    <w:name w:val="FollowedHyperlink"/>
    <w:basedOn w:val="30"/>
    <w:autoRedefine/>
    <w:semiHidden/>
    <w:unhideWhenUsed/>
    <w:qFormat/>
    <w:uiPriority w:val="99"/>
    <w:rPr>
      <w:color w:val="444444"/>
      <w:sz w:val="21"/>
      <w:szCs w:val="21"/>
      <w:u w:val="none"/>
    </w:rPr>
  </w:style>
  <w:style w:type="character" w:styleId="33">
    <w:name w:val="Hyperlink"/>
    <w:basedOn w:val="30"/>
    <w:autoRedefine/>
    <w:unhideWhenUsed/>
    <w:qFormat/>
    <w:uiPriority w:val="99"/>
    <w:rPr>
      <w:color w:val="0000FF" w:themeColor="hyperlink"/>
      <w:u w:val="single"/>
      <w14:textFill>
        <w14:solidFill>
          <w14:schemeClr w14:val="hlink"/>
        </w14:solidFill>
      </w14:textFill>
    </w:rPr>
  </w:style>
  <w:style w:type="character" w:styleId="34">
    <w:name w:val="HTML Code"/>
    <w:basedOn w:val="30"/>
    <w:autoRedefine/>
    <w:semiHidden/>
    <w:unhideWhenUsed/>
    <w:qFormat/>
    <w:uiPriority w:val="99"/>
    <w:rPr>
      <w:rFonts w:ascii="Courier New" w:hAnsi="Courier New"/>
      <w:sz w:val="20"/>
    </w:rPr>
  </w:style>
  <w:style w:type="character" w:styleId="35">
    <w:name w:val="annotation reference"/>
    <w:basedOn w:val="30"/>
    <w:autoRedefine/>
    <w:semiHidden/>
    <w:unhideWhenUsed/>
    <w:qFormat/>
    <w:uiPriority w:val="99"/>
    <w:rPr>
      <w:sz w:val="21"/>
      <w:szCs w:val="21"/>
    </w:rPr>
  </w:style>
  <w:style w:type="paragraph" w:customStyle="1" w:styleId="36">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0"/>
    <w:link w:val="2"/>
    <w:autoRedefine/>
    <w:qFormat/>
    <w:uiPriority w:val="9"/>
    <w:rPr>
      <w:b/>
      <w:bCs/>
      <w:kern w:val="44"/>
      <w:sz w:val="44"/>
      <w:szCs w:val="44"/>
    </w:rPr>
  </w:style>
  <w:style w:type="character" w:customStyle="1" w:styleId="46">
    <w:name w:val="标题 2 Char"/>
    <w:basedOn w:val="30"/>
    <w:link w:val="3"/>
    <w:autoRedefine/>
    <w:qFormat/>
    <w:uiPriority w:val="0"/>
    <w:rPr>
      <w:rFonts w:ascii="Arial" w:hAnsi="Arial" w:eastAsia="黑体" w:cs="Times New Roman"/>
      <w:b/>
      <w:sz w:val="32"/>
      <w:szCs w:val="20"/>
    </w:rPr>
  </w:style>
  <w:style w:type="character" w:customStyle="1" w:styleId="47">
    <w:name w:val="标题 3 Char"/>
    <w:basedOn w:val="30"/>
    <w:link w:val="4"/>
    <w:autoRedefine/>
    <w:qFormat/>
    <w:uiPriority w:val="9"/>
    <w:rPr>
      <w:b/>
      <w:bCs/>
      <w:sz w:val="32"/>
      <w:szCs w:val="32"/>
    </w:rPr>
  </w:style>
  <w:style w:type="character" w:customStyle="1" w:styleId="48">
    <w:name w:val="标题 4 Char"/>
    <w:basedOn w:val="30"/>
    <w:link w:val="5"/>
    <w:autoRedefine/>
    <w:qFormat/>
    <w:uiPriority w:val="9"/>
    <w:rPr>
      <w:rFonts w:asciiTheme="majorHAnsi" w:hAnsiTheme="majorHAnsi" w:eastAsiaTheme="majorEastAsia" w:cstheme="majorBidi"/>
      <w:b/>
      <w:bCs/>
      <w:sz w:val="28"/>
      <w:szCs w:val="28"/>
    </w:rPr>
  </w:style>
  <w:style w:type="paragraph" w:customStyle="1" w:styleId="49">
    <w:name w:val="样式1"/>
    <w:basedOn w:val="18"/>
    <w:next w:val="5"/>
    <w:autoRedefine/>
    <w:qFormat/>
    <w:uiPriority w:val="0"/>
    <w:pPr>
      <w:tabs>
        <w:tab w:val="left" w:pos="425"/>
      </w:tabs>
      <w:ind w:left="425" w:hanging="425"/>
    </w:pPr>
  </w:style>
  <w:style w:type="character" w:customStyle="1" w:styleId="50">
    <w:name w:val="正文缩进 Char"/>
    <w:link w:val="7"/>
    <w:autoRedefine/>
    <w:qFormat/>
    <w:uiPriority w:val="0"/>
  </w:style>
  <w:style w:type="character" w:customStyle="1" w:styleId="51">
    <w:name w:val="标题 8 Char"/>
    <w:basedOn w:val="30"/>
    <w:link w:val="6"/>
    <w:autoRedefine/>
    <w:qFormat/>
    <w:uiPriority w:val="0"/>
    <w:rPr>
      <w:rFonts w:asciiTheme="majorHAnsi" w:hAnsiTheme="majorHAnsi" w:eastAsiaTheme="majorEastAsia" w:cstheme="majorBidi"/>
      <w:kern w:val="2"/>
      <w:sz w:val="24"/>
      <w:szCs w:val="24"/>
    </w:rPr>
  </w:style>
  <w:style w:type="character" w:customStyle="1" w:styleId="52">
    <w:name w:val="批注文字 Char1"/>
    <w:link w:val="8"/>
    <w:autoRedefine/>
    <w:qFormat/>
    <w:uiPriority w:val="0"/>
    <w:rPr>
      <w:szCs w:val="24"/>
    </w:rPr>
  </w:style>
  <w:style w:type="character" w:customStyle="1" w:styleId="53">
    <w:name w:val="正文文本 3 Char"/>
    <w:basedOn w:val="30"/>
    <w:link w:val="9"/>
    <w:autoRedefine/>
    <w:semiHidden/>
    <w:qFormat/>
    <w:uiPriority w:val="99"/>
    <w:rPr>
      <w:sz w:val="16"/>
      <w:szCs w:val="16"/>
    </w:rPr>
  </w:style>
  <w:style w:type="character" w:customStyle="1" w:styleId="54">
    <w:name w:val="正文文本 Char"/>
    <w:basedOn w:val="30"/>
    <w:link w:val="10"/>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0"/>
    <w:link w:val="11"/>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0"/>
    <w:link w:val="15"/>
    <w:autoRedefine/>
    <w:semiHidden/>
    <w:qFormat/>
    <w:uiPriority w:val="99"/>
    <w:rPr>
      <w:kern w:val="2"/>
      <w:sz w:val="21"/>
      <w:szCs w:val="22"/>
    </w:rPr>
  </w:style>
  <w:style w:type="character" w:customStyle="1" w:styleId="58">
    <w:name w:val="页脚 Char"/>
    <w:basedOn w:val="30"/>
    <w:link w:val="17"/>
    <w:autoRedefine/>
    <w:qFormat/>
    <w:uiPriority w:val="99"/>
    <w:rPr>
      <w:sz w:val="18"/>
      <w:szCs w:val="18"/>
    </w:rPr>
  </w:style>
  <w:style w:type="character" w:customStyle="1" w:styleId="59">
    <w:name w:val="页眉 Char"/>
    <w:basedOn w:val="30"/>
    <w:link w:val="18"/>
    <w:autoRedefine/>
    <w:qFormat/>
    <w:uiPriority w:val="99"/>
    <w:rPr>
      <w:sz w:val="18"/>
      <w:szCs w:val="18"/>
    </w:rPr>
  </w:style>
  <w:style w:type="character" w:customStyle="1" w:styleId="60">
    <w:name w:val="副标题 Char"/>
    <w:basedOn w:val="30"/>
    <w:link w:val="20"/>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6"/>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0"/>
    <w:autoRedefine/>
    <w:semiHidden/>
    <w:qFormat/>
    <w:uiPriority w:val="99"/>
  </w:style>
  <w:style w:type="character" w:customStyle="1" w:styleId="65">
    <w:name w:val="纯文本 Char1"/>
    <w:basedOn w:val="30"/>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0"/>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0"/>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0"/>
    <w:autoRedefine/>
    <w:qFormat/>
    <w:uiPriority w:val="0"/>
  </w:style>
  <w:style w:type="character" w:customStyle="1" w:styleId="145">
    <w:name w:val="hover17"/>
    <w:basedOn w:val="30"/>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0"/>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0"/>
    <w:autoRedefine/>
    <w:qFormat/>
    <w:uiPriority w:val="0"/>
    <w:rPr>
      <w:shd w:val="clear" w:fill="2D4F80"/>
    </w:rPr>
  </w:style>
  <w:style w:type="character" w:customStyle="1" w:styleId="160">
    <w:name w:val="first-child"/>
    <w:basedOn w:val="30"/>
    <w:autoRedefine/>
    <w:qFormat/>
    <w:uiPriority w:val="0"/>
    <w:rPr>
      <w:rFonts w:ascii="Arial" w:hAnsi="Arial" w:cs="Arial"/>
      <w:sz w:val="57"/>
      <w:szCs w:val="57"/>
    </w:rPr>
  </w:style>
  <w:style w:type="character" w:customStyle="1" w:styleId="161">
    <w:name w:val="first-child1"/>
    <w:basedOn w:val="30"/>
    <w:autoRedefine/>
    <w:qFormat/>
    <w:uiPriority w:val="0"/>
    <w:rPr>
      <w:color w:val="999999"/>
    </w:rPr>
  </w:style>
  <w:style w:type="character" w:customStyle="1" w:styleId="162">
    <w:name w:val="first-child2"/>
    <w:basedOn w:val="30"/>
    <w:autoRedefine/>
    <w:qFormat/>
    <w:uiPriority w:val="0"/>
    <w:rPr>
      <w:sz w:val="24"/>
      <w:szCs w:val="24"/>
    </w:rPr>
  </w:style>
  <w:style w:type="character" w:customStyle="1" w:styleId="163">
    <w:name w:val="first-child3"/>
    <w:basedOn w:val="30"/>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35</Pages>
  <Words>6952</Words>
  <Characters>7245</Characters>
  <Lines>315</Lines>
  <Paragraphs>88</Paragraphs>
  <TotalTime>0</TotalTime>
  <ScaleCrop>false</ScaleCrop>
  <LinksUpToDate>false</LinksUpToDate>
  <CharactersWithSpaces>7884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2026-03-27T08:31:06Z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A3F19B4F1E17431288ECFA3FB0265ADB_13</vt:lpwstr>
  </property>
  <property fmtid="{D5CDD505-2E9C-101B-9397-08002B2CF9AE}" pid="4" name="KSOTemplateDocerSaveRecord">
    <vt:lpwstr>eyJoZGlkIjoiMDMxYzc3MGIxYzU2OTljNjVjNTFmNTA1NzBkMDlhODAiLCJ1c2VySWQiOiIxNTkzMTM1MzczIn0=</vt:lpwstr>
  </property>
</Properties>
</file>