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020D8F56">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河南省胸科医院</w:t>
      </w:r>
    </w:p>
    <w:p w14:paraId="6EF45325">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2026年遴选会计师事务所开展</w:t>
      </w: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财务咨询服务项目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027</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4</w:t>
      </w:r>
      <w:r>
        <w:rPr>
          <w:rFonts w:hint="eastAsia" w:ascii="宋体" w:hAnsi="宋体" w:cs="宋体"/>
          <w:b/>
          <w:sz w:val="30"/>
          <w:szCs w:val="30"/>
          <w:highlight w:val="yellow"/>
        </w:rPr>
        <w:t>月</w:t>
      </w:r>
    </w:p>
    <w:p w14:paraId="4A5AC4F5">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164E5E0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yellow"/>
          <w:lang w:eastAsia="zh-CN"/>
        </w:rPr>
      </w:pPr>
      <w:r>
        <w:rPr>
          <w:rFonts w:hint="eastAsia" w:ascii="宋体" w:hAnsi="宋体"/>
          <w:b/>
          <w:sz w:val="28"/>
          <w:szCs w:val="28"/>
          <w:highlight w:val="yellow"/>
          <w:lang w:eastAsia="zh-CN"/>
        </w:rPr>
        <w:t xml:space="preserve">河南省胸科医院2026年遴选会计师事务所开展财务咨询服务项目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yellow"/>
          <w:lang w:eastAsia="zh-CN"/>
        </w:rPr>
      </w:pPr>
      <w:r>
        <w:rPr>
          <w:rFonts w:hint="eastAsia" w:ascii="宋体" w:hAnsi="宋体"/>
          <w:b/>
          <w:sz w:val="28"/>
          <w:szCs w:val="28"/>
          <w:highlight w:val="yellow"/>
          <w:lang w:eastAsia="zh-CN"/>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河南省胸科医院2026年遴选会计师事务所开展财务咨询服务项目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医院遴选会计师事务所开展财务咨询服务</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45</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30189C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default"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val="en-US" w:eastAsia="zh-CN"/>
        </w:rPr>
        <w:t>必须依法注册成立，具有独立法人资格和有效的营业执照，持有财政部门颁发的</w:t>
      </w:r>
      <w:r>
        <w:rPr>
          <w:rFonts w:hint="eastAsia" w:asciiTheme="minorEastAsia" w:hAnsiTheme="minorEastAsia" w:eastAsiaTheme="minorEastAsia" w:cstheme="minorEastAsia"/>
          <w:b/>
          <w:bCs/>
          <w:color w:val="333333"/>
          <w:sz w:val="24"/>
          <w:szCs w:val="24"/>
          <w:lang w:val="en-US" w:eastAsia="zh-CN"/>
        </w:rPr>
        <w:t>会计师事务所执业证书</w:t>
      </w:r>
      <w:r>
        <w:rPr>
          <w:rFonts w:hint="eastAsia" w:asciiTheme="minorEastAsia" w:hAnsiTheme="minorEastAsia" w:eastAsiaTheme="minorEastAsia" w:cstheme="minorEastAsia"/>
          <w:color w:val="333333"/>
          <w:sz w:val="24"/>
          <w:szCs w:val="24"/>
          <w:lang w:val="en-US" w:eastAsia="zh-CN"/>
        </w:rPr>
        <w:t>。</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3、</w:t>
      </w:r>
      <w:r>
        <w:rPr>
          <w:rFonts w:hint="eastAsia" w:asciiTheme="minorEastAsia" w:hAnsiTheme="minorEastAsia" w:eastAsiaTheme="minorEastAsia" w:cstheme="minorEastAsia"/>
          <w:b/>
          <w:bCs/>
          <w:color w:val="333333"/>
          <w:sz w:val="24"/>
          <w:szCs w:val="24"/>
          <w:lang w:val="en-US" w:eastAsia="zh-CN"/>
        </w:rPr>
        <w:t>项目负责人需具备注册会计师资格</w:t>
      </w:r>
      <w:r>
        <w:rPr>
          <w:rFonts w:hint="eastAsia" w:asciiTheme="minorEastAsia" w:hAnsiTheme="minorEastAsia" w:eastAsiaTheme="minorEastAsia" w:cstheme="minorEastAsia"/>
          <w:color w:val="333333"/>
          <w:sz w:val="24"/>
          <w:szCs w:val="24"/>
          <w:lang w:val="en-US" w:eastAsia="zh-CN"/>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9</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13</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558087E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030BA03">
            <w:pPr>
              <w:spacing w:line="360" w:lineRule="auto"/>
              <w:ind w:firstLine="241" w:firstLineChars="100"/>
              <w:jc w:val="left"/>
              <w:rPr>
                <w:rFonts w:hint="eastAsia" w:ascii="宋体" w:hAnsi="宋体"/>
                <w:b/>
                <w:bCs/>
                <w:sz w:val="24"/>
                <w:highlight w:val="none"/>
              </w:rPr>
            </w:pPr>
          </w:p>
          <w:p w14:paraId="2485456D">
            <w:pPr>
              <w:spacing w:line="360" w:lineRule="auto"/>
              <w:ind w:firstLine="241" w:firstLineChars="100"/>
              <w:jc w:val="left"/>
              <w:rPr>
                <w:rFonts w:hint="eastAsia" w:ascii="宋体" w:hAnsi="宋体"/>
                <w:b/>
                <w:bCs/>
                <w:sz w:val="24"/>
                <w:highlight w:val="none"/>
                <w:u w:val="none"/>
              </w:rPr>
            </w:pPr>
            <w:r>
              <w:rPr>
                <w:rFonts w:hint="eastAsia" w:ascii="宋体" w:hAnsi="宋体"/>
                <w:b/>
                <w:bCs/>
                <w:sz w:val="24"/>
                <w:highlight w:val="none"/>
                <w:u w:val="none"/>
              </w:rPr>
              <w:t>响应文件份数：</w:t>
            </w:r>
          </w:p>
          <w:p w14:paraId="180CCF8A">
            <w:pPr>
              <w:spacing w:line="360" w:lineRule="auto"/>
              <w:ind w:firstLine="723" w:firstLineChars="300"/>
              <w:jc w:val="left"/>
              <w:rPr>
                <w:rFonts w:hint="eastAsia" w:ascii="宋体" w:hAnsi="宋体"/>
                <w:b/>
                <w:bCs/>
                <w:sz w:val="24"/>
                <w:highlight w:val="none"/>
                <w:u w:val="none"/>
              </w:rPr>
            </w:pPr>
            <w:r>
              <w:rPr>
                <w:rFonts w:hint="eastAsia" w:ascii="宋体" w:hAnsi="宋体"/>
                <w:b/>
                <w:bCs/>
                <w:sz w:val="24"/>
                <w:highlight w:val="none"/>
                <w:u w:val="none"/>
              </w:rPr>
              <w:t>纸质文件一正二副</w:t>
            </w:r>
            <w:r>
              <w:rPr>
                <w:rFonts w:hint="eastAsia" w:ascii="宋体" w:hAnsi="宋体"/>
                <w:b/>
                <w:bCs/>
                <w:sz w:val="24"/>
                <w:highlight w:val="none"/>
                <w:u w:val="none"/>
                <w:lang w:val="en-US" w:eastAsia="zh-CN"/>
              </w:rPr>
              <w:t>(</w:t>
            </w:r>
            <w:r>
              <w:rPr>
                <w:rFonts w:hint="eastAsia" w:ascii="宋体" w:hAnsi="宋体"/>
                <w:b/>
                <w:bCs/>
                <w:sz w:val="24"/>
                <w:highlight w:val="none"/>
                <w:u w:val="none"/>
                <w:lang w:eastAsia="zh-CN"/>
              </w:rPr>
              <w:t>胶装、带封皮</w:t>
            </w:r>
            <w:r>
              <w:rPr>
                <w:rFonts w:hint="eastAsia" w:ascii="宋体" w:hAnsi="宋体"/>
                <w:b/>
                <w:bCs/>
                <w:sz w:val="24"/>
                <w:highlight w:val="none"/>
                <w:u w:val="none"/>
                <w:lang w:val="en-US" w:eastAsia="zh-CN"/>
              </w:rPr>
              <w:t>)</w:t>
            </w:r>
            <w:r>
              <w:rPr>
                <w:rFonts w:hint="eastAsia" w:ascii="宋体" w:hAnsi="宋体"/>
                <w:b/>
                <w:bCs/>
                <w:sz w:val="24"/>
                <w:highlight w:val="none"/>
                <w:u w:val="none"/>
              </w:rPr>
              <w:t>,U盘拷贝电子版（带红章）</w:t>
            </w:r>
          </w:p>
          <w:p w14:paraId="755E8A7B">
            <w:pPr>
              <w:spacing w:line="360" w:lineRule="auto"/>
              <w:ind w:firstLine="241" w:firstLineChars="100"/>
              <w:jc w:val="left"/>
              <w:rPr>
                <w:rFonts w:hint="default" w:ascii="宋体" w:hAnsi="宋体"/>
                <w:b/>
                <w:bCs/>
                <w:sz w:val="24"/>
                <w:highlight w:val="none"/>
                <w:u w:val="none"/>
                <w:lang w:val="en-US" w:eastAsia="zh-CN"/>
              </w:rPr>
            </w:pPr>
            <w:r>
              <w:rPr>
                <w:rFonts w:hint="eastAsia" w:ascii="宋体" w:hAnsi="宋体"/>
                <w:b/>
                <w:bCs/>
                <w:sz w:val="24"/>
                <w:highlight w:val="none"/>
                <w:u w:val="none"/>
              </w:rPr>
              <w:t>一份</w:t>
            </w:r>
            <w:r>
              <w:rPr>
                <w:rFonts w:hint="eastAsia" w:ascii="宋体" w:hAnsi="宋体"/>
                <w:b/>
                <w:bCs/>
                <w:sz w:val="24"/>
                <w:highlight w:val="none"/>
                <w:u w:val="none"/>
                <w:lang w:val="en-US" w:eastAsia="zh-CN"/>
              </w:rPr>
              <w:t xml:space="preserve"> </w:t>
            </w:r>
            <w:r>
              <w:rPr>
                <w:rFonts w:hint="eastAsia" w:ascii="宋体" w:hAnsi="宋体"/>
                <w:b/>
                <w:bCs/>
                <w:sz w:val="24"/>
                <w:highlight w:val="none"/>
                <w:u w:val="none"/>
              </w:rPr>
              <w:t>（PDF格式）。</w:t>
            </w:r>
          </w:p>
          <w:p w14:paraId="6710E6F1">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u w:val="none"/>
                <w:lang w:eastAsia="zh-CN"/>
              </w:rPr>
              <w:t>项目名称</w:t>
            </w:r>
            <w:r>
              <w:rPr>
                <w:rFonts w:hint="eastAsia" w:ascii="宋体" w:hAnsi="宋体"/>
                <w:sz w:val="24"/>
                <w:highlight w:val="none"/>
                <w:u w:val="none"/>
                <w:lang w:val="en-US" w:eastAsia="zh-CN"/>
              </w:rPr>
              <w:t xml:space="preserve"> </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9"/>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44A2FBD1">
      <w:pPr>
        <w:pStyle w:val="29"/>
        <w:keepNext w:val="0"/>
        <w:keepLines w:val="0"/>
        <w:pageBreakBefore w:val="0"/>
        <w:kinsoku/>
        <w:wordWrap/>
        <w:overflowPunct/>
        <w:topLinePunct w:val="0"/>
        <w:autoSpaceDE/>
        <w:autoSpaceDN/>
        <w:bidi w:val="0"/>
        <w:adjustRightInd/>
        <w:snapToGrid/>
        <w:spacing w:after="0" w:line="36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bookmarkStart w:id="1" w:name="_Toc533344015"/>
      <w:bookmarkStart w:id="2" w:name="_Toc63697600"/>
      <w:bookmarkStart w:id="3" w:name="_Toc476419059"/>
      <w:bookmarkStart w:id="4" w:name="_Toc29773"/>
      <w:bookmarkStart w:id="5" w:name="_Toc476420856"/>
      <w:bookmarkStart w:id="6" w:name="_Toc169314184"/>
      <w:bookmarkStart w:id="7" w:name="_Toc155249524"/>
      <w:bookmarkStart w:id="8" w:name="_Toc155249520"/>
      <w:r>
        <w:rPr>
          <w:rFonts w:hint="eastAsia" w:ascii="宋体" w:hAnsi="宋体" w:eastAsia="宋体" w:cs="宋体"/>
          <w:b/>
          <w:bCs/>
          <w:color w:val="auto"/>
          <w:sz w:val="21"/>
          <w:szCs w:val="21"/>
          <w:lang w:eastAsia="zh-CN"/>
        </w:rPr>
        <w:t>一、</w:t>
      </w:r>
      <w:r>
        <w:rPr>
          <w:rFonts w:hint="eastAsia" w:ascii="宋体" w:hAnsi="宋体" w:eastAsia="宋体" w:cs="宋体"/>
          <w:b/>
          <w:bCs/>
          <w:color w:val="auto"/>
          <w:kern w:val="2"/>
          <w:sz w:val="21"/>
          <w:szCs w:val="21"/>
          <w:lang w:val="en-US" w:eastAsia="zh-CN" w:bidi="ar-SA"/>
        </w:rPr>
        <w:t>技术要求：</w:t>
      </w:r>
    </w:p>
    <w:bookmarkEnd w:id="1"/>
    <w:bookmarkEnd w:id="2"/>
    <w:bookmarkEnd w:id="3"/>
    <w:bookmarkEnd w:id="4"/>
    <w:bookmarkEnd w:id="5"/>
    <w:bookmarkEnd w:id="6"/>
    <w:bookmarkEnd w:id="7"/>
    <w:bookmarkEnd w:id="8"/>
    <w:p w14:paraId="6E51BBF8">
      <w:pPr>
        <w:adjustRightInd w:val="0"/>
        <w:snapToGrid w:val="0"/>
        <w:spacing w:line="360" w:lineRule="auto"/>
        <w:ind w:firstLine="560" w:firstLineChars="200"/>
        <w:jc w:val="left"/>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（一）会计师事务所主要提供资产清查服务、</w:t>
      </w:r>
      <w:r>
        <w:rPr>
          <w:rFonts w:hint="eastAsia" w:ascii="仿宋_GB2312" w:hAnsi="仿宋_GB2312" w:eastAsia="仿宋_GB2312" w:cs="仿宋_GB2312"/>
          <w:color w:val="000000"/>
          <w:sz w:val="28"/>
          <w:szCs w:val="28"/>
          <w:lang w:val="en-US" w:eastAsia="zh-CN"/>
        </w:rPr>
        <w:t>财务竣工决算服务及财务报表审计服务，具体要求如下：</w:t>
      </w:r>
    </w:p>
    <w:p w14:paraId="304DE509">
      <w:pPr>
        <w:adjustRightInd w:val="0"/>
        <w:snapToGrid w:val="0"/>
        <w:spacing w:line="360" w:lineRule="auto"/>
        <w:ind w:firstLine="560" w:firstLineChars="20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1、资产清查项目要求</w:t>
      </w:r>
    </w:p>
    <w:p w14:paraId="49B2409C">
      <w:pPr>
        <w:adjustRightInd w:val="0"/>
        <w:snapToGrid w:val="0"/>
        <w:spacing w:line="360" w:lineRule="auto"/>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专项资产清查，</w:t>
      </w:r>
      <w:r>
        <w:rPr>
          <w:rFonts w:hint="eastAsia" w:ascii="仿宋_GB2312" w:hAnsi="仿宋_GB2312" w:eastAsia="仿宋_GB2312" w:cs="仿宋_GB2312"/>
          <w:color w:val="000000"/>
          <w:sz w:val="28"/>
          <w:szCs w:val="28"/>
          <w:highlight w:val="none"/>
          <w:lang w:eastAsia="zh-CN"/>
        </w:rPr>
        <w:t>按照</w:t>
      </w:r>
      <w:r>
        <w:rPr>
          <w:rFonts w:hint="eastAsia" w:ascii="仿宋_GB2312" w:hAnsi="仿宋_GB2312" w:eastAsia="仿宋_GB2312" w:cs="仿宋_GB2312"/>
          <w:color w:val="000000"/>
          <w:sz w:val="28"/>
          <w:szCs w:val="28"/>
          <w:highlight w:val="none"/>
          <w:lang w:val="en-US" w:eastAsia="zh-CN"/>
        </w:rPr>
        <w:t>需</w:t>
      </w:r>
      <w:r>
        <w:rPr>
          <w:rFonts w:hint="eastAsia" w:ascii="仿宋_GB2312" w:hAnsi="仿宋_GB2312" w:eastAsia="仿宋_GB2312" w:cs="仿宋_GB2312"/>
          <w:color w:val="000000"/>
          <w:sz w:val="28"/>
          <w:szCs w:val="28"/>
          <w:highlight w:val="none"/>
          <w:lang w:eastAsia="zh-CN"/>
        </w:rPr>
        <w:t>方要求在约定时间内</w:t>
      </w:r>
      <w:r>
        <w:rPr>
          <w:rFonts w:hint="eastAsia" w:ascii="仿宋_GB2312" w:hAnsi="仿宋_GB2312" w:eastAsia="仿宋_GB2312" w:cs="仿宋_GB2312"/>
          <w:color w:val="000000"/>
          <w:sz w:val="28"/>
          <w:szCs w:val="28"/>
          <w:highlight w:val="none"/>
        </w:rPr>
        <w:t>对</w:t>
      </w:r>
      <w:r>
        <w:rPr>
          <w:rFonts w:hint="eastAsia" w:ascii="仿宋_GB2312" w:hAnsi="仿宋_GB2312" w:eastAsia="仿宋_GB2312" w:cs="仿宋_GB2312"/>
          <w:color w:val="000000"/>
          <w:sz w:val="28"/>
          <w:szCs w:val="28"/>
          <w:highlight w:val="none"/>
          <w:lang w:eastAsia="zh-CN"/>
        </w:rPr>
        <w:t>医院某一具体起止时间内的</w:t>
      </w:r>
      <w:r>
        <w:rPr>
          <w:rFonts w:hint="eastAsia" w:ascii="仿宋_GB2312" w:hAnsi="仿宋_GB2312" w:eastAsia="仿宋_GB2312" w:cs="仿宋_GB2312"/>
          <w:color w:val="000000"/>
          <w:sz w:val="28"/>
          <w:szCs w:val="28"/>
          <w:highlight w:val="none"/>
        </w:rPr>
        <w:t>所有资</w:t>
      </w:r>
      <w:r>
        <w:rPr>
          <w:rFonts w:hint="eastAsia" w:ascii="仿宋_GB2312" w:hAnsi="仿宋_GB2312" w:eastAsia="仿宋_GB2312" w:cs="仿宋_GB2312"/>
          <w:color w:val="000000"/>
          <w:sz w:val="28"/>
          <w:szCs w:val="28"/>
        </w:rPr>
        <w:t>产进行全面核实与诊断，具体内容包括但不限</w:t>
      </w:r>
      <w:r>
        <w:rPr>
          <w:rFonts w:hint="eastAsia" w:ascii="仿宋_GB2312" w:hAnsi="仿宋_GB2312" w:eastAsia="仿宋_GB2312" w:cs="仿宋_GB2312"/>
          <w:color w:val="000000"/>
          <w:sz w:val="28"/>
          <w:szCs w:val="28"/>
          <w:lang w:val="en-US" w:eastAsia="zh-CN"/>
        </w:rPr>
        <w:t>于对</w:t>
      </w:r>
      <w:r>
        <w:rPr>
          <w:rFonts w:hint="eastAsia" w:ascii="仿宋_GB2312" w:hAnsi="仿宋_GB2312" w:eastAsia="仿宋_GB2312" w:cs="仿宋_GB2312"/>
          <w:color w:val="000000"/>
          <w:sz w:val="28"/>
          <w:szCs w:val="28"/>
        </w:rPr>
        <w:t>资产“账实相符性”基础核查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资产“权属与使用责任”穿透核查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资产“全生命周期”合规性核查</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管理流程与内控缺陷诊断</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交付成果</w:t>
      </w:r>
      <w:r>
        <w:rPr>
          <w:rFonts w:hint="eastAsia" w:ascii="仿宋_GB2312" w:hAnsi="仿宋_GB2312" w:eastAsia="仿宋_GB2312" w:cs="仿宋_GB2312"/>
          <w:color w:val="000000"/>
          <w:sz w:val="28"/>
          <w:szCs w:val="28"/>
          <w:lang w:val="en-US" w:eastAsia="zh-CN"/>
        </w:rPr>
        <w:t>等。</w:t>
      </w:r>
    </w:p>
    <w:p w14:paraId="2AE78BD0">
      <w:pPr>
        <w:numPr>
          <w:ilvl w:val="0"/>
          <w:numId w:val="0"/>
        </w:num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2、财务竣工决算项目</w:t>
      </w:r>
      <w:r>
        <w:rPr>
          <w:rFonts w:hint="eastAsia" w:ascii="仿宋_GB2312" w:hAnsi="仿宋_GB2312" w:eastAsia="仿宋_GB2312" w:cs="仿宋_GB2312"/>
          <w:color w:val="000000"/>
          <w:sz w:val="28"/>
          <w:szCs w:val="28"/>
          <w:highlight w:val="none"/>
          <w:lang w:val="en-US" w:eastAsia="zh-CN"/>
        </w:rPr>
        <w:t>要求</w:t>
      </w:r>
    </w:p>
    <w:p w14:paraId="249BA3B1">
      <w:pPr>
        <w:adjustRightInd w:val="0"/>
        <w:snapToGrid w:val="0"/>
        <w:spacing w:line="360" w:lineRule="auto"/>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w:t>
      </w:r>
      <w:r>
        <w:rPr>
          <w:rFonts w:hint="eastAsia" w:ascii="仿宋_GB2312" w:hAnsi="仿宋_GB2312" w:eastAsia="仿宋_GB2312" w:cs="仿宋_GB2312"/>
          <w:color w:val="000000"/>
          <w:sz w:val="28"/>
          <w:szCs w:val="28"/>
          <w:lang w:val="en-US" w:eastAsia="zh-CN"/>
        </w:rPr>
        <w:t>需</w:t>
      </w:r>
      <w:r>
        <w:rPr>
          <w:rFonts w:hint="eastAsia" w:ascii="仿宋_GB2312" w:hAnsi="仿宋_GB2312" w:eastAsia="仿宋_GB2312" w:cs="仿宋_GB2312"/>
          <w:color w:val="000000"/>
          <w:sz w:val="28"/>
          <w:szCs w:val="28"/>
          <w:lang w:eastAsia="zh-CN"/>
        </w:rPr>
        <w:t>方要求的</w:t>
      </w:r>
      <w:r>
        <w:rPr>
          <w:rFonts w:hint="eastAsia" w:ascii="仿宋_GB2312" w:hAnsi="仿宋_GB2312" w:eastAsia="仿宋_GB2312" w:cs="仿宋_GB2312"/>
          <w:color w:val="000000"/>
          <w:sz w:val="28"/>
          <w:szCs w:val="28"/>
        </w:rPr>
        <w:t>涉及政府投资资金项目以及医院自筹资金</w:t>
      </w:r>
      <w:r>
        <w:rPr>
          <w:rFonts w:hint="eastAsia" w:ascii="仿宋_GB2312" w:hAnsi="仿宋_GB2312" w:eastAsia="仿宋_GB2312" w:cs="仿宋_GB2312"/>
          <w:color w:val="000000"/>
          <w:sz w:val="28"/>
          <w:szCs w:val="28"/>
          <w:lang w:val="en-US" w:eastAsia="zh-CN"/>
        </w:rPr>
        <w:t>约定金额</w:t>
      </w:r>
      <w:r>
        <w:rPr>
          <w:rFonts w:hint="eastAsia" w:ascii="仿宋_GB2312" w:hAnsi="仿宋_GB2312" w:eastAsia="仿宋_GB2312" w:cs="仿宋_GB2312"/>
          <w:color w:val="000000"/>
          <w:sz w:val="28"/>
          <w:szCs w:val="28"/>
        </w:rPr>
        <w:t>的基本建设项目，全面了解其资金来源和资金运用情况，并对建设项目的真实性、完整性和合法性进行竣工决算评价和审计，指出存在问题，提交完整的审计报告。</w:t>
      </w:r>
    </w:p>
    <w:p w14:paraId="4BE6D5A1">
      <w:pPr>
        <w:numPr>
          <w:ilvl w:val="0"/>
          <w:numId w:val="0"/>
        </w:num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3、财务报表审计项目要求</w:t>
      </w:r>
    </w:p>
    <w:p w14:paraId="4E327EB8">
      <w:pPr>
        <w:adjustRightInd w:val="0"/>
        <w:snapToGrid w:val="0"/>
        <w:spacing w:line="360" w:lineRule="auto"/>
        <w:ind w:firstLine="560" w:firstLineChars="200"/>
        <w:jc w:val="left"/>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年度财务报表审计业务：对编制的年度资产负债表和收入费用总表、现金流量表、财政补助收支情况表以及财务报表附注和财务情况说明书进行审计，提交完整的年度财务报表审计报告和管理建议书。</w:t>
      </w:r>
    </w:p>
    <w:p w14:paraId="1CBB99FE">
      <w:pPr>
        <w:numPr>
          <w:ilvl w:val="0"/>
          <w:numId w:val="2"/>
        </w:num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对会计师事务所的要求</w:t>
      </w:r>
    </w:p>
    <w:p w14:paraId="23DB8C3A">
      <w:pPr>
        <w:widowControl w:val="0"/>
        <w:numPr>
          <w:ilvl w:val="0"/>
          <w:numId w:val="0"/>
        </w:numPr>
        <w:adjustRightInd w:val="0"/>
        <w:snapToGrid w:val="0"/>
        <w:spacing w:line="360" w:lineRule="auto"/>
        <w:ind w:left="0" w:leftChars="0"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 良好信誉记录：近三年内无重大违法违规记录，具备健全的财务会计制度和良好的商业信誉。</w:t>
      </w:r>
    </w:p>
    <w:p w14:paraId="14239FFD">
      <w:pPr>
        <w:widowControl w:val="0"/>
        <w:numPr>
          <w:ilvl w:val="0"/>
          <w:numId w:val="0"/>
        </w:numPr>
        <w:adjustRightInd w:val="0"/>
        <w:snapToGrid w:val="0"/>
        <w:spacing w:line="360" w:lineRule="auto"/>
        <w:ind w:left="0" w:leftChars="0"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 行业经验：具有丰富的医院财务审计和咨询服务经验，熟悉医疗卫生行业的财务管理制度和相关政策法规。</w:t>
      </w:r>
    </w:p>
    <w:p w14:paraId="3037FB7B">
      <w:pPr>
        <w:widowControl w:val="0"/>
        <w:numPr>
          <w:ilvl w:val="0"/>
          <w:numId w:val="0"/>
        </w:numPr>
        <w:adjustRightInd w:val="0"/>
        <w:snapToGrid w:val="0"/>
        <w:spacing w:line="360" w:lineRule="auto"/>
        <w:ind w:left="0" w:leftChars="0"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 独立性与合规性：需独立于采购人（医院），通过注册会计师年度检审，并有依法缴纳税收和社保的良好记录。</w:t>
      </w:r>
    </w:p>
    <w:p w14:paraId="5AD873F6">
      <w:pPr>
        <w:widowControl w:val="0"/>
        <w:numPr>
          <w:ilvl w:val="0"/>
          <w:numId w:val="0"/>
        </w:numPr>
        <w:adjustRightInd w:val="0"/>
        <w:snapToGrid w:val="0"/>
        <w:spacing w:line="360" w:lineRule="auto"/>
        <w:ind w:left="0" w:leftChars="0" w:firstLine="560" w:firstLineChars="200"/>
        <w:jc w:val="left"/>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kern w:val="2"/>
          <w:sz w:val="28"/>
          <w:szCs w:val="28"/>
          <w:highlight w:val="none"/>
          <w:lang w:val="en-US" w:eastAsia="zh-CN" w:bidi="ar-SA"/>
        </w:rPr>
        <w:t>优先考虑：参与过</w:t>
      </w:r>
      <w:r>
        <w:rPr>
          <w:rFonts w:hint="eastAsia" w:ascii="仿宋_GB2312" w:hAnsi="仿宋_GB2312" w:eastAsia="仿宋_GB2312" w:cs="仿宋_GB2312"/>
          <w:color w:val="auto"/>
          <w:kern w:val="2"/>
          <w:sz w:val="28"/>
          <w:szCs w:val="28"/>
          <w:highlight w:val="none"/>
          <w:lang w:val="en-US" w:eastAsia="zh-CN" w:bidi="ar-SA"/>
        </w:rPr>
        <w:t>三甲</w:t>
      </w:r>
      <w:r>
        <w:rPr>
          <w:rFonts w:hint="default" w:ascii="仿宋_GB2312" w:hAnsi="仿宋_GB2312" w:eastAsia="仿宋_GB2312" w:cs="仿宋_GB2312"/>
          <w:color w:val="auto"/>
          <w:kern w:val="2"/>
          <w:sz w:val="28"/>
          <w:szCs w:val="28"/>
          <w:highlight w:val="none"/>
          <w:lang w:val="en-US" w:eastAsia="zh-CN" w:bidi="ar-SA"/>
        </w:rPr>
        <w:t>医院</w:t>
      </w:r>
      <w:r>
        <w:rPr>
          <w:rFonts w:hint="eastAsia" w:ascii="仿宋_GB2312" w:hAnsi="仿宋_GB2312" w:eastAsia="仿宋_GB2312" w:cs="仿宋_GB2312"/>
          <w:color w:val="auto"/>
          <w:kern w:val="2"/>
          <w:sz w:val="28"/>
          <w:szCs w:val="28"/>
          <w:highlight w:val="none"/>
          <w:lang w:val="en-US" w:eastAsia="zh-CN" w:bidi="ar-SA"/>
        </w:rPr>
        <w:t>相关</w:t>
      </w:r>
      <w:r>
        <w:rPr>
          <w:rFonts w:hint="default" w:ascii="仿宋_GB2312" w:hAnsi="仿宋_GB2312" w:eastAsia="仿宋_GB2312" w:cs="仿宋_GB2312"/>
          <w:color w:val="auto"/>
          <w:kern w:val="2"/>
          <w:sz w:val="28"/>
          <w:szCs w:val="28"/>
          <w:highlight w:val="none"/>
          <w:lang w:val="en-US" w:eastAsia="zh-CN" w:bidi="ar-SA"/>
        </w:rPr>
        <w:t>审计项目的会计事务所</w:t>
      </w:r>
      <w:r>
        <w:rPr>
          <w:rFonts w:hint="eastAsia" w:ascii="仿宋_GB2312" w:hAnsi="仿宋_GB2312" w:eastAsia="仿宋_GB2312" w:cs="仿宋_GB2312"/>
          <w:color w:val="auto"/>
          <w:kern w:val="2"/>
          <w:sz w:val="28"/>
          <w:szCs w:val="28"/>
          <w:highlight w:val="none"/>
          <w:lang w:val="en-US" w:eastAsia="zh-CN" w:bidi="ar-SA"/>
        </w:rPr>
        <w:t>可优先考虑</w:t>
      </w:r>
      <w:r>
        <w:rPr>
          <w:rFonts w:hint="default" w:ascii="仿宋_GB2312" w:hAnsi="仿宋_GB2312" w:eastAsia="仿宋_GB2312" w:cs="仿宋_GB2312"/>
          <w:color w:val="auto"/>
          <w:kern w:val="2"/>
          <w:sz w:val="28"/>
          <w:szCs w:val="28"/>
          <w:highlight w:val="none"/>
          <w:lang w:val="en-US" w:eastAsia="zh-CN" w:bidi="ar-SA"/>
        </w:rPr>
        <w:t>。</w:t>
      </w:r>
    </w:p>
    <w:p w14:paraId="410E31D0">
      <w:pPr>
        <w:numPr>
          <w:ilvl w:val="0"/>
          <w:numId w:val="2"/>
        </w:num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审计人员配备要求。</w:t>
      </w:r>
    </w:p>
    <w:p w14:paraId="667491D8">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会计师事务所要切实履行投标书承诺的事项，合理安排审计力量，审计项目组的人员要相对固定。其中：拟派审计组成员必须在</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lang w:val="en-US" w:eastAsia="zh-CN"/>
        </w:rPr>
        <w:t>人及以上（具体人员数量依据项目工期规模并听从医院安排随时调整增加），项目审计负责人必须由6年以上的注册会计师工作经验、业务能力强、曾承担过审计项目负责人；项目组成员必须由具有审计从业经验、能胜任审计工作的人员担任。</w:t>
      </w:r>
    </w:p>
    <w:p w14:paraId="4477A7D6">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（三）职业道德基本要求。</w:t>
      </w:r>
    </w:p>
    <w:p w14:paraId="61888BD1">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会计师事务所委派本单位注册会计师开展审计业务，应当遵守中国注册会计师职业道德守则，遵循诚信、客观和公正原则，在审计工作中保持独立性，如存在可能损害独立性的利害关系，应当向所在会计师事务所声明，并实行回避。对执业过程中获知的涉密信息保密，维护职业声誉。严格遵守保密规定，不得泄露在审计中获知的国家秘密、商业秘密、工作秘密、个人隐私和内部信息。</w:t>
      </w:r>
    </w:p>
    <w:p w14:paraId="2AA64456">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（四）质量控制水平要求。</w:t>
      </w:r>
    </w:p>
    <w:p w14:paraId="65C3F63A">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会计师事务所应当运用审计质量标准，对各项审计工作，或具体审计项目全过程的质量进行自我约束，提供较高审计工作水平以及审计工作效率。开展审计业务时，应当遵守职业道德，具备相应的专业胜任能力，履行保密义务，独立、客观、公正地开展审计监督和评价，关注相关经济风险、风险防控等，并对审计质量和进度保障实施有效控制。</w:t>
      </w:r>
    </w:p>
    <w:p w14:paraId="3C635329">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（五）其他服务承诺要求。</w:t>
      </w:r>
    </w:p>
    <w:p w14:paraId="26D4F188">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1、服从采购人的工作安排、尊重采购人的工作方式提出的合理建议及意见，并积极配合工作的承诺；</w:t>
      </w:r>
    </w:p>
    <w:p w14:paraId="5D4A3F97">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2、供应商对每个审计项目及时提供符合要求的审计方案，配备能胜任的审计人员，按采购人要求项目期限保质保量完成审计任务的承诺。</w:t>
      </w:r>
    </w:p>
    <w:p w14:paraId="0BED1E10">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3、供应商随时接受采购人业务咨询并给与专业咨询服务的承诺。</w:t>
      </w:r>
    </w:p>
    <w:p w14:paraId="25809036">
      <w:pPr>
        <w:adjustRightInd w:val="0"/>
        <w:snapToGrid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4、供应商提供本项目采购范围的相关审计案例及资料等。</w:t>
      </w:r>
    </w:p>
    <w:p w14:paraId="1F36319F">
      <w:pPr>
        <w:adjustRightInd w:val="0"/>
        <w:snapToGrid w:val="0"/>
        <w:spacing w:line="360" w:lineRule="auto"/>
        <w:ind w:firstLine="560" w:firstLineChars="200"/>
        <w:jc w:val="lef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5、其他实质性承诺及优惠服务承诺。</w:t>
      </w:r>
    </w:p>
    <w:p w14:paraId="3CF4CFA3">
      <w:pPr>
        <w:numPr>
          <w:ilvl w:val="0"/>
          <w:numId w:val="0"/>
        </w:numPr>
        <w:adjustRightInd w:val="0"/>
        <w:snapToGrid w:val="0"/>
        <w:spacing w:line="360" w:lineRule="auto"/>
        <w:ind w:firstLine="560" w:firstLineChars="200"/>
        <w:jc w:val="left"/>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二、商务要求</w:t>
      </w:r>
    </w:p>
    <w:p w14:paraId="377F97D9">
      <w:pPr>
        <w:widowControl w:val="0"/>
        <w:numPr>
          <w:ilvl w:val="0"/>
          <w:numId w:val="0"/>
        </w:numPr>
        <w:adjustRightInd w:val="0"/>
        <w:snapToGrid w:val="0"/>
        <w:spacing w:line="360" w:lineRule="auto"/>
        <w:ind w:left="0" w:leftChars="0" w:firstLine="560" w:firstLineChars="200"/>
        <w:jc w:val="left"/>
        <w:rPr>
          <w:rFonts w:hint="eastAsia" w:ascii="仿宋_GB2312" w:hAnsi="仿宋_GB2312" w:eastAsia="仿宋_GB2312" w:cs="仿宋_GB2312"/>
          <w:color w:val="C00000"/>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 特定资格：必须依法注册成立，具有独立法人资格和有效的营业执照，持有财政部门颁发的会计师事务所执业证书。项目负责人需具备注册会计师资格。</w:t>
      </w:r>
    </w:p>
    <w:p w14:paraId="740D031A">
      <w:pPr>
        <w:adjustRightInd w:val="0"/>
        <w:snapToGrid w:val="0"/>
        <w:spacing w:line="360" w:lineRule="auto"/>
        <w:ind w:firstLine="560" w:firstLineChars="200"/>
        <w:jc w:val="left"/>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2.采购范围：院区资产清查专项审计、财务报表审计、</w:t>
      </w:r>
      <w:r>
        <w:rPr>
          <w:rFonts w:hint="eastAsia" w:ascii="仿宋_GB2312" w:hAnsi="仿宋_GB2312" w:eastAsia="仿宋_GB2312" w:cs="仿宋_GB2312"/>
          <w:b w:val="0"/>
          <w:bCs w:val="0"/>
          <w:color w:val="auto"/>
          <w:sz w:val="28"/>
          <w:szCs w:val="28"/>
          <w:lang w:val="en-US" w:eastAsia="zh-CN"/>
        </w:rPr>
        <w:t>财务竣工决算审计等</w:t>
      </w:r>
      <w:r>
        <w:rPr>
          <w:rFonts w:hint="eastAsia" w:ascii="仿宋_GB2312" w:hAnsi="仿宋_GB2312" w:eastAsia="仿宋_GB2312" w:cs="仿宋_GB2312"/>
          <w:b w:val="0"/>
          <w:bCs w:val="0"/>
          <w:color w:val="auto"/>
          <w:sz w:val="28"/>
          <w:szCs w:val="28"/>
          <w:highlight w:val="none"/>
          <w:lang w:val="en-US" w:eastAsia="zh-CN"/>
        </w:rPr>
        <w:t xml:space="preserve">。 </w:t>
      </w:r>
    </w:p>
    <w:p w14:paraId="15FF2807">
      <w:pPr>
        <w:adjustRightInd w:val="0"/>
        <w:snapToGrid w:val="0"/>
        <w:spacing w:line="360" w:lineRule="auto"/>
        <w:ind w:firstLine="560" w:firstLineChars="20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3.质量标准：符合国家、省、市有关审计的规定，满足医院审计质量要求。 </w:t>
      </w:r>
    </w:p>
    <w:p w14:paraId="399D3E5F">
      <w:pPr>
        <w:adjustRightInd w:val="0"/>
        <w:snapToGrid w:val="0"/>
        <w:spacing w:line="360" w:lineRule="auto"/>
        <w:ind w:firstLine="560" w:firstLineChars="20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4.最高限价：《</w:t>
      </w:r>
      <w:r>
        <w:rPr>
          <w:rFonts w:hint="eastAsia" w:ascii="仿宋_GB2312" w:hAnsi="仿宋_GB2312" w:eastAsia="仿宋_GB2312" w:cs="仿宋_GB2312"/>
          <w:color w:val="000000"/>
          <w:kern w:val="2"/>
          <w:sz w:val="28"/>
          <w:szCs w:val="28"/>
          <w:highlight w:val="none"/>
          <w:lang w:val="en-US" w:eastAsia="zh-CN" w:bidi="ar-SA"/>
        </w:rPr>
        <w:t>河南省会计师事务所审计服务收费标准</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kern w:val="2"/>
          <w:sz w:val="28"/>
          <w:szCs w:val="28"/>
          <w:highlight w:val="none"/>
          <w:lang w:val="en-US" w:eastAsia="zh-CN" w:bidi="ar-SA"/>
        </w:rPr>
        <w:t>—豫发改收费（2011）2374号</w:t>
      </w:r>
      <w:r>
        <w:rPr>
          <w:rFonts w:hint="eastAsia" w:ascii="仿宋_GB2312" w:hAnsi="仿宋_GB2312" w:eastAsia="仿宋_GB2312" w:cs="仿宋_GB2312"/>
          <w:color w:val="000000"/>
          <w:sz w:val="28"/>
          <w:szCs w:val="28"/>
          <w:highlight w:val="none"/>
          <w:lang w:val="en-US" w:eastAsia="zh-CN"/>
        </w:rPr>
        <w:t>文件规定标准的60%。</w:t>
      </w:r>
    </w:p>
    <w:p w14:paraId="3D4D63CC">
      <w:pPr>
        <w:adjustRightInd w:val="0"/>
        <w:snapToGrid w:val="0"/>
        <w:spacing w:line="360" w:lineRule="auto"/>
        <w:ind w:firstLine="560" w:firstLineChars="20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5.服务地点：采购人指定地点。</w:t>
      </w:r>
    </w:p>
    <w:p w14:paraId="77751BAF">
      <w:pPr>
        <w:adjustRightInd w:val="0"/>
        <w:snapToGrid w:val="0"/>
        <w:spacing w:line="360" w:lineRule="auto"/>
        <w:ind w:firstLine="560" w:firstLineChars="200"/>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6.服务期限：一年。 </w:t>
      </w:r>
    </w:p>
    <w:p w14:paraId="79C558EC">
      <w:pPr>
        <w:adjustRightInd w:val="0"/>
        <w:snapToGrid w:val="0"/>
        <w:spacing w:line="360" w:lineRule="auto"/>
        <w:ind w:firstLine="560" w:firstLineChars="200"/>
        <w:jc w:val="lef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highlight w:val="none"/>
          <w:lang w:val="en-US" w:eastAsia="zh-CN"/>
        </w:rPr>
        <w:t>7.付款方式：供方履行完所有义务并交付成果文件，需方验收合格并满足合同约定支付条件的，需方依据与供方签订的委托服务合同的约定支付服务费用。需方自收到供方发票后 20 个工作日内将服务费用一次性支付给供方。</w:t>
      </w:r>
    </w:p>
    <w:p w14:paraId="73295C77">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p>
    <w:p w14:paraId="596A839B">
      <w:pPr>
        <w:rPr>
          <w:rFonts w:hint="eastAsia"/>
          <w:b/>
          <w:sz w:val="32"/>
          <w:szCs w:val="32"/>
        </w:rPr>
      </w:pPr>
      <w:r>
        <w:rPr>
          <w:rFonts w:hint="eastAsia"/>
          <w:b/>
          <w:sz w:val="32"/>
          <w:szCs w:val="32"/>
        </w:rPr>
        <w:br w:type="page"/>
      </w: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9" w:name="_Toc24908"/>
      <w:r>
        <w:rPr>
          <w:rFonts w:hint="eastAsia"/>
          <w:color w:val="auto"/>
          <w:sz w:val="28"/>
          <w:highlight w:val="none"/>
        </w:rPr>
        <w:t>第一部分资格证明文件</w:t>
      </w:r>
      <w:bookmarkEnd w:id="9"/>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10" w:name="_Toc2479"/>
      <w:bookmarkStart w:id="11"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13" w:name="_资格证明文件"/>
      <w:bookmarkEnd w:id="13"/>
      <w:bookmarkStart w:id="14" w:name="_Toc10534"/>
      <w:bookmarkStart w:id="15"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16" w:name="_Toc11890"/>
      <w:bookmarkStart w:id="17" w:name="_Toc26111"/>
      <w:bookmarkStart w:id="18"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9" w:name="_Toc24403"/>
      <w:bookmarkStart w:id="20" w:name="_Toc569"/>
      <w:bookmarkStart w:id="21" w:name="_Toc1931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2" w:name="_Toc1972"/>
      <w:bookmarkStart w:id="23" w:name="_Toc10542"/>
    </w:p>
    <w:p w14:paraId="11FCB31D">
      <w:pPr>
        <w:pStyle w:val="4"/>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25" w:name="_Toc32668"/>
      <w:bookmarkStart w:id="26" w:name="_Toc8953"/>
      <w:bookmarkStart w:id="27"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11219"/>
      <w:bookmarkStart w:id="30" w:name="_Toc28112"/>
      <w:bookmarkStart w:id="31"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1"/>
    <w:p w14:paraId="6D8B67AE">
      <w:pPr>
        <w:bidi w:val="0"/>
        <w:rPr>
          <w:rFonts w:hint="eastAsia"/>
          <w:lang w:eastAsia="zh-CN"/>
        </w:rPr>
      </w:pPr>
      <w:bookmarkStart w:id="32"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34" w:name="_Toc29119"/>
      <w:r>
        <w:rPr>
          <w:rFonts w:hint="eastAsia"/>
          <w:color w:val="auto"/>
          <w:sz w:val="28"/>
          <w:highlight w:val="none"/>
        </w:rPr>
        <w:t>第二部分商务、技术文件</w:t>
      </w:r>
      <w:bookmarkEnd w:id="34"/>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35"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bookmarkStart w:id="61" w:name="_GoBack"/>
      <w:bookmarkEnd w:id="61"/>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r>
              <w:rPr>
                <w:sz w:val="24"/>
              </w:rPr>
              <mc:AlternateContent>
                <mc:Choice Requires="wps">
                  <w:drawing>
                    <wp:anchor distT="0" distB="0" distL="114300" distR="114300" simplePos="0" relativeHeight="251660288" behindDoc="0" locked="0" layoutInCell="1" allowOverlap="1">
                      <wp:simplePos x="0" y="0"/>
                      <wp:positionH relativeFrom="column">
                        <wp:posOffset>2214880</wp:posOffset>
                      </wp:positionH>
                      <wp:positionV relativeFrom="paragraph">
                        <wp:posOffset>540385</wp:posOffset>
                      </wp:positionV>
                      <wp:extent cx="2604770" cy="1426210"/>
                      <wp:effectExtent l="9525" t="9525" r="14605" b="12065"/>
                      <wp:wrapNone/>
                      <wp:docPr id="1" name="文本框 1"/>
                      <wp:cNvGraphicFramePr/>
                      <a:graphic xmlns:a="http://schemas.openxmlformats.org/drawingml/2006/main">
                        <a:graphicData uri="http://schemas.microsoft.com/office/word/2010/wordprocessingShape">
                          <wps:wsp>
                            <wps:cNvSpPr txBox="1"/>
                            <wps:spPr>
                              <a:xfrm>
                                <a:off x="0" y="0"/>
                                <a:ext cx="2604770" cy="142621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46C37">
                                  <w:pPr>
                                    <w:rPr>
                                      <w:rFonts w:hint="default" w:eastAsiaTheme="minorEastAsia"/>
                                      <w:b/>
                                      <w:bCs/>
                                      <w:color w:val="FF0000"/>
                                      <w:sz w:val="30"/>
                                      <w:szCs w:val="30"/>
                                      <w:lang w:val="en-US" w:eastAsia="zh-CN"/>
                                    </w:rPr>
                                  </w:pPr>
                                  <w:r>
                                    <w:rPr>
                                      <w:rFonts w:hint="eastAsia"/>
                                      <w:b/>
                                      <w:bCs/>
                                      <w:color w:val="FF0000"/>
                                      <w:sz w:val="30"/>
                                      <w:szCs w:val="30"/>
                                      <w:lang w:val="en-US" w:eastAsia="zh-CN"/>
                                    </w:rPr>
                                    <w:t>报价（百分比）</w:t>
                                  </w:r>
                                  <w:r>
                                    <w:rPr>
                                      <w:rFonts w:hint="eastAsia" w:ascii="宋体" w:hAnsi="宋体" w:eastAsia="宋体" w:cs="宋体"/>
                                      <w:b w:val="0"/>
                                      <w:bCs w:val="0"/>
                                      <w:color w:val="auto"/>
                                      <w:kern w:val="0"/>
                                      <w:sz w:val="21"/>
                                      <w:szCs w:val="21"/>
                                      <w:highlight w:val="none"/>
                                      <w:lang w:val="en-US" w:eastAsia="zh-CN"/>
                                    </w:rPr>
                                    <w:t>总报价超过项目</w:t>
                                  </w:r>
                                  <w:r>
                                    <w:rPr>
                                      <w:rFonts w:hint="eastAsia"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按无效响应处理。</w:t>
                                  </w:r>
                                  <w:r>
                                    <w:rPr>
                                      <w:rFonts w:hint="eastAsia" w:ascii="宋体" w:hAnsi="宋体" w:eastAsia="宋体"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《河南省会计师事务所审计服务收费标准》—豫发改收费（2011）2374号文件规定标准的</w:t>
                                  </w:r>
                                  <w:r>
                                    <w:rPr>
                                      <w:rFonts w:hint="eastAsia" w:ascii="宋体" w:hAnsi="宋体" w:eastAsia="宋体" w:cs="宋体"/>
                                      <w:b/>
                                      <w:bCs/>
                                      <w:color w:val="auto"/>
                                      <w:kern w:val="0"/>
                                      <w:sz w:val="21"/>
                                      <w:szCs w:val="21"/>
                                      <w:highlight w:val="none"/>
                                      <w:lang w:val="en-US" w:eastAsia="zh-CN"/>
                                    </w:rPr>
                                    <w:t>60%</w:t>
                                  </w:r>
                                  <w:r>
                                    <w:rPr>
                                      <w:rFonts w:hint="eastAsia" w:cs="宋体"/>
                                      <w:b w:val="0"/>
                                      <w:bCs w:val="0"/>
                                      <w:color w:val="auto"/>
                                      <w:kern w:val="0"/>
                                      <w:sz w:val="21"/>
                                      <w:szCs w:val="21"/>
                                      <w:highlight w:val="none"/>
                                      <w:lang w:val="en-US" w:eastAsia="zh-CN"/>
                                    </w:rPr>
                                    <w:t>。</w:t>
                                  </w:r>
                                  <w:r>
                                    <w:rPr>
                                      <w:rFonts w:hint="eastAsia" w:cs="宋体"/>
                                      <w:b w:val="0"/>
                                      <w:bCs w:val="0"/>
                                      <w:color w:val="auto"/>
                                      <w:kern w:val="0"/>
                                      <w:sz w:val="21"/>
                                      <w:szCs w:val="21"/>
                                      <w:highlight w:val="yellow"/>
                                      <w:lang w:val="en-US" w:eastAsia="zh-CN"/>
                                    </w:rPr>
                                    <w:t>【此对话框删除】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4pt;margin-top:42.55pt;height:112.3pt;width:205.1pt;z-index:251660288;mso-width-relative:page;mso-height-relative:page;" fillcolor="#FFFFFF [3201]" filled="t" stroked="t" coordsize="21600,21600" o:gfxdata="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N/r7TX&#10;AAAACgEAAA8AAAAAAAAAAQAgAAAAIgAAAGRycy9kb3ducmV2LnhtbFBLAQIUABQAAAAIAIdO4kAc&#10;nVQEWgIAALkEAAAOAAAAAAAAAAEAIAAAACYBAABkcnMvZTJvRG9jLnhtbFBLBQYAAAAABgAGAFkB&#10;AADyBQAAAAA=&#10;">
                      <v:fill on="t" focussize="0,0"/>
                      <v:stroke weight="1.5pt" color="#000000 [3204]" joinstyle="round"/>
                      <v:imagedata o:title=""/>
                      <o:lock v:ext="edit" aspectratio="f"/>
                      <v:textbox>
                        <w:txbxContent>
                          <w:p w14:paraId="05246C37">
                            <w:pPr>
                              <w:rPr>
                                <w:rFonts w:hint="default" w:eastAsiaTheme="minorEastAsia"/>
                                <w:b/>
                                <w:bCs/>
                                <w:color w:val="FF0000"/>
                                <w:sz w:val="30"/>
                                <w:szCs w:val="30"/>
                                <w:lang w:val="en-US" w:eastAsia="zh-CN"/>
                              </w:rPr>
                            </w:pPr>
                            <w:r>
                              <w:rPr>
                                <w:rFonts w:hint="eastAsia"/>
                                <w:b/>
                                <w:bCs/>
                                <w:color w:val="FF0000"/>
                                <w:sz w:val="30"/>
                                <w:szCs w:val="30"/>
                                <w:lang w:val="en-US" w:eastAsia="zh-CN"/>
                              </w:rPr>
                              <w:t>报价（百分比）</w:t>
                            </w:r>
                            <w:r>
                              <w:rPr>
                                <w:rFonts w:hint="eastAsia" w:ascii="宋体" w:hAnsi="宋体" w:eastAsia="宋体" w:cs="宋体"/>
                                <w:b w:val="0"/>
                                <w:bCs w:val="0"/>
                                <w:color w:val="auto"/>
                                <w:kern w:val="0"/>
                                <w:sz w:val="21"/>
                                <w:szCs w:val="21"/>
                                <w:highlight w:val="none"/>
                                <w:lang w:val="en-US" w:eastAsia="zh-CN"/>
                              </w:rPr>
                              <w:t>总报价超过项目</w:t>
                            </w:r>
                            <w:r>
                              <w:rPr>
                                <w:rFonts w:hint="eastAsia"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按无效响应处理。</w:t>
                            </w:r>
                            <w:r>
                              <w:rPr>
                                <w:rFonts w:hint="eastAsia" w:ascii="宋体" w:hAnsi="宋体" w:eastAsia="宋体"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《河南省会计师事务所审计服务收费标准》—豫发改收费（2011）2374号文件规定标准的</w:t>
                            </w:r>
                            <w:r>
                              <w:rPr>
                                <w:rFonts w:hint="eastAsia" w:ascii="宋体" w:hAnsi="宋体" w:eastAsia="宋体" w:cs="宋体"/>
                                <w:b/>
                                <w:bCs/>
                                <w:color w:val="auto"/>
                                <w:kern w:val="0"/>
                                <w:sz w:val="21"/>
                                <w:szCs w:val="21"/>
                                <w:highlight w:val="none"/>
                                <w:lang w:val="en-US" w:eastAsia="zh-CN"/>
                              </w:rPr>
                              <w:t>60%</w:t>
                            </w:r>
                            <w:r>
                              <w:rPr>
                                <w:rFonts w:hint="eastAsia" w:cs="宋体"/>
                                <w:b w:val="0"/>
                                <w:bCs w:val="0"/>
                                <w:color w:val="auto"/>
                                <w:kern w:val="0"/>
                                <w:sz w:val="21"/>
                                <w:szCs w:val="21"/>
                                <w:highlight w:val="none"/>
                                <w:lang w:val="en-US" w:eastAsia="zh-CN"/>
                              </w:rPr>
                              <w:t>。</w:t>
                            </w:r>
                            <w:r>
                              <w:rPr>
                                <w:rFonts w:hint="eastAsia" w:cs="宋体"/>
                                <w:b w:val="0"/>
                                <w:bCs w:val="0"/>
                                <w:color w:val="auto"/>
                                <w:kern w:val="0"/>
                                <w:sz w:val="21"/>
                                <w:szCs w:val="21"/>
                                <w:highlight w:val="yellow"/>
                                <w:lang w:val="en-US" w:eastAsia="zh-CN"/>
                              </w:rPr>
                              <w:t>【此对话框删除】</w:t>
                            </w:r>
                          </w:p>
                        </w:txbxContent>
                      </v:textbox>
                    </v:shape>
                  </w:pict>
                </mc:Fallback>
              </mc:AlternateContent>
            </w: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报价</w:t>
            </w:r>
          </w:p>
        </w:tc>
        <w:tc>
          <w:tcPr>
            <w:tcW w:w="6780" w:type="dxa"/>
            <w:vAlign w:val="center"/>
          </w:tcPr>
          <w:p w14:paraId="009866BF">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r>
              <w:rPr>
                <w:rFonts w:hint="eastAsia"/>
                <w:sz w:val="24"/>
                <w:u w:val="single"/>
                <w:lang w:val="en-US" w:eastAsia="zh-CN"/>
              </w:rPr>
              <w:t xml:space="preserve">            </w:t>
            </w:r>
            <w:r>
              <w:rPr>
                <w:rFonts w:hint="eastAsia"/>
                <w:sz w:val="24"/>
                <w:u w:val="none"/>
                <w:lang w:val="en-US" w:eastAsia="zh-CN"/>
              </w:rPr>
              <w:t xml:space="preserve"> %</w:t>
            </w:r>
            <w:r>
              <w:rPr>
                <w:rFonts w:hint="eastAsia"/>
                <w:sz w:val="24"/>
              </w:rPr>
              <w:t xml:space="preserve"> </w:t>
            </w: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大写：</w:t>
            </w:r>
            <w:r>
              <w:rPr>
                <w:rFonts w:hint="eastAsia"/>
                <w:sz w:val="24"/>
                <w:lang w:eastAsia="zh-CN"/>
              </w:rPr>
              <w:t>百分之</w:t>
            </w:r>
            <w:r>
              <w:rPr>
                <w:rFonts w:hint="eastAsia"/>
                <w:sz w:val="24"/>
                <w:u w:val="single"/>
                <w:lang w:val="en-US" w:eastAsia="zh-CN"/>
              </w:rPr>
              <w:t xml:space="preserve">          </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0A7B485D">
            <w:pPr>
              <w:keepNext w:val="0"/>
              <w:keepLines w:val="0"/>
              <w:pageBreakBefore w:val="0"/>
              <w:widowControl w:val="0"/>
              <w:tabs>
                <w:tab w:val="left" w:pos="926"/>
                <w:tab w:val="left" w:pos="4335"/>
                <w:tab w:val="left" w:pos="4515"/>
                <w:tab w:val="left" w:pos="7227"/>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符合国家、省、市有关审计的规定，</w:t>
            </w:r>
          </w:p>
          <w:p w14:paraId="49FBA2FA">
            <w:pPr>
              <w:keepNext w:val="0"/>
              <w:keepLines w:val="0"/>
              <w:pageBreakBefore w:val="0"/>
              <w:widowControl w:val="0"/>
              <w:tabs>
                <w:tab w:val="left" w:pos="926"/>
                <w:tab w:val="left" w:pos="4335"/>
                <w:tab w:val="left" w:pos="4515"/>
                <w:tab w:val="left" w:pos="7227"/>
              </w:tabs>
              <w:kinsoku/>
              <w:wordWrap/>
              <w:overflowPunct/>
              <w:topLinePunct w:val="0"/>
              <w:autoSpaceDE/>
              <w:autoSpaceDN/>
              <w:bidi w:val="0"/>
              <w:adjustRightInd/>
              <w:snapToGrid/>
              <w:spacing w:line="340" w:lineRule="exact"/>
              <w:jc w:val="center"/>
              <w:textAlignment w:val="auto"/>
              <w:rPr>
                <w:rFonts w:hint="eastAsia"/>
                <w:sz w:val="24"/>
                <w:szCs w:val="24"/>
                <w:highlight w:val="none"/>
                <w:u w:val="single"/>
                <w:lang w:val="en-US" w:eastAsia="zh-CN"/>
              </w:rPr>
            </w:pPr>
            <w:r>
              <w:rPr>
                <w:rFonts w:hint="eastAsia" w:ascii="仿宋_GB2312" w:hAnsi="仿宋_GB2312" w:eastAsia="仿宋_GB2312" w:cs="仿宋_GB2312"/>
                <w:color w:val="000000"/>
                <w:sz w:val="28"/>
                <w:szCs w:val="28"/>
                <w:highlight w:val="none"/>
                <w:lang w:val="en-US" w:eastAsia="zh-CN"/>
              </w:rPr>
              <w:t>满足医院审计质量要求。</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51CD24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w:t>
      </w:r>
    </w:p>
    <w:p w14:paraId="2EE501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cs="宋体"/>
          <w:b w:val="0"/>
          <w:bCs/>
          <w:color w:val="auto"/>
          <w:sz w:val="21"/>
          <w:szCs w:val="21"/>
          <w:lang w:eastAsia="zh-CN"/>
        </w:rPr>
        <w:t>报价</w:t>
      </w:r>
      <w:r>
        <w:rPr>
          <w:rFonts w:hint="eastAsia" w:cs="宋体"/>
          <w:b/>
          <w:bCs w:val="0"/>
          <w:color w:val="FF0000"/>
          <w:sz w:val="21"/>
          <w:szCs w:val="21"/>
          <w:lang w:eastAsia="zh-CN"/>
        </w:rPr>
        <w:t>（</w:t>
      </w:r>
      <w:r>
        <w:rPr>
          <w:rFonts w:hint="eastAsia" w:cs="宋体"/>
          <w:b/>
          <w:bCs w:val="0"/>
          <w:color w:val="FF0000"/>
          <w:sz w:val="21"/>
          <w:szCs w:val="21"/>
          <w:lang w:val="en-US" w:eastAsia="zh-CN"/>
        </w:rPr>
        <w:t>按照百分比报价</w:t>
      </w:r>
      <w:r>
        <w:rPr>
          <w:rFonts w:hint="eastAsia" w:cs="宋体"/>
          <w:b/>
          <w:bCs w:val="0"/>
          <w:color w:val="FF0000"/>
          <w:sz w:val="21"/>
          <w:szCs w:val="21"/>
          <w:lang w:eastAsia="zh-CN"/>
        </w:rPr>
        <w:t>）</w:t>
      </w:r>
      <w:r>
        <w:rPr>
          <w:rFonts w:hint="eastAsia" w:ascii="宋体" w:hAnsi="宋体" w:eastAsia="宋体" w:cs="宋体"/>
          <w:b w:val="0"/>
          <w:bCs w:val="0"/>
          <w:color w:val="auto"/>
          <w:kern w:val="0"/>
          <w:sz w:val="21"/>
          <w:szCs w:val="21"/>
          <w:highlight w:val="none"/>
          <w:lang w:val="en-US" w:eastAsia="zh-CN"/>
        </w:rPr>
        <w:t>超过项目</w:t>
      </w:r>
      <w:r>
        <w:rPr>
          <w:rFonts w:hint="eastAsia"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按无效响应处理。</w:t>
      </w: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cs="宋体"/>
          <w:b w:val="0"/>
          <w:bCs w:val="0"/>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val="en-US" w:eastAsia="zh-CN"/>
        </w:rPr>
        <w:t>《河南省会计师事务所审计服务收费标准》—豫发改收费（2011）2374号文件规定标准的</w:t>
      </w:r>
      <w:r>
        <w:rPr>
          <w:rFonts w:hint="eastAsia" w:ascii="宋体" w:hAnsi="宋体" w:eastAsia="宋体" w:cs="宋体"/>
          <w:b/>
          <w:bCs/>
          <w:color w:val="auto"/>
          <w:kern w:val="0"/>
          <w:sz w:val="21"/>
          <w:szCs w:val="21"/>
          <w:highlight w:val="none"/>
          <w:lang w:val="en-US" w:eastAsia="zh-CN"/>
        </w:rPr>
        <w:t>60%</w:t>
      </w:r>
      <w:r>
        <w:rPr>
          <w:rFonts w:hint="eastAsia" w:cs="宋体"/>
          <w:b w:val="0"/>
          <w:bCs w:val="0"/>
          <w:color w:val="auto"/>
          <w:kern w:val="0"/>
          <w:sz w:val="21"/>
          <w:szCs w:val="21"/>
          <w:highlight w:val="none"/>
          <w:lang w:val="en-US" w:eastAsia="zh-CN"/>
        </w:rPr>
        <w:t>。</w:t>
      </w:r>
    </w:p>
    <w:p w14:paraId="611E3F1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50D7EBE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36" w:name="_Toc30834"/>
      <w:bookmarkStart w:id="37"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9" w:name="_Toc11982"/>
      <w:bookmarkStart w:id="40"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41" w:name="_Toc23816"/>
      <w:bookmarkStart w:id="42" w:name="_Toc2049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43" w:name="_Toc2922"/>
      <w:bookmarkStart w:id="44" w:name="_Toc4948"/>
      <w:bookmarkStart w:id="45" w:name="_Toc304219331"/>
      <w:bookmarkStart w:id="46" w:name="_Toc30765"/>
      <w:bookmarkStart w:id="47" w:name="_Toc15867"/>
      <w:bookmarkStart w:id="48" w:name="_Toc320878714"/>
      <w:bookmarkStart w:id="49" w:name="_Toc4599"/>
      <w:bookmarkStart w:id="50" w:name="_Toc349642319"/>
      <w:bookmarkStart w:id="51" w:name="_Toc29526"/>
      <w:bookmarkStart w:id="52" w:name="_Toc337475928"/>
      <w:bookmarkStart w:id="53" w:name="_Toc28583"/>
      <w:bookmarkStart w:id="54" w:name="_Toc337554798"/>
      <w:bookmarkStart w:id="55" w:name="_Toc10750"/>
      <w:bookmarkStart w:id="56" w:name="_Toc12801"/>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9" w:name="_Toc17593"/>
      <w:bookmarkStart w:id="60" w:name="_Toc11154"/>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5D1EEB0"/>
    <w:multiLevelType w:val="singleLevel"/>
    <w:tmpl w:val="95D1EEB0"/>
    <w:lvl w:ilvl="0" w:tentative="0">
      <w:start w:val="2"/>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69297E"/>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BF25C3"/>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6E0E03"/>
    <w:rsid w:val="387F7882"/>
    <w:rsid w:val="388879EB"/>
    <w:rsid w:val="38977A54"/>
    <w:rsid w:val="38D85137"/>
    <w:rsid w:val="39026FB5"/>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520C0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3D292E"/>
    <w:rsid w:val="614F7DE8"/>
    <w:rsid w:val="61550FF1"/>
    <w:rsid w:val="62006A98"/>
    <w:rsid w:val="62181C42"/>
    <w:rsid w:val="624B5753"/>
    <w:rsid w:val="624C7731"/>
    <w:rsid w:val="62AB7268"/>
    <w:rsid w:val="62B97AEE"/>
    <w:rsid w:val="63CE3967"/>
    <w:rsid w:val="642175AF"/>
    <w:rsid w:val="642D4DED"/>
    <w:rsid w:val="64396E63"/>
    <w:rsid w:val="648C1737"/>
    <w:rsid w:val="64AF3C33"/>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1A5C42"/>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35</Pages>
  <Words>2807</Words>
  <Characters>2978</Characters>
  <Lines>315</Lines>
  <Paragraphs>88</Paragraphs>
  <TotalTime>3</TotalTime>
  <ScaleCrop>false</ScaleCrop>
  <LinksUpToDate>false</LinksUpToDate>
  <CharactersWithSpaces>3054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2026-04-08T12:10:55Z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786757C9036B437B904B5FFC66809A65_13</vt:lpwstr>
  </property>
  <property fmtid="{D5CDD505-2E9C-101B-9397-08002B2CF9AE}" pid="4" name="KSOTemplateDocerSaveRecord">
    <vt:lpwstr>eyJoZGlkIjoiMDMxYzc3MGIxYzU2OTljNjVjNTFmNTA1NzBkMDlhODAiLCJ1c2VySWQiOiIxNTkzMTM1MzczIn0=</vt:lpwstr>
  </property>
</Properties>
</file>